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DB" w:rsidRPr="00EA1F8C" w:rsidRDefault="00FB28A2" w:rsidP="00680AFF">
      <w:pPr>
        <w:pStyle w:val="Title"/>
        <w:jc w:val="center"/>
        <w:rPr>
          <w:rFonts w:ascii="Calibri" w:hAnsi="Calibri"/>
          <w:b/>
          <w:color w:val="4A7B29" w:themeColor="accent2" w:themeShade="BF"/>
          <w:sz w:val="44"/>
        </w:rPr>
      </w:pPr>
      <w:bookmarkStart w:id="0" w:name="_GoBack"/>
      <w:bookmarkEnd w:id="0"/>
      <w:r>
        <w:rPr>
          <w:rFonts w:ascii="Calibri" w:hAnsi="Calibri"/>
          <w:b/>
          <w:color w:val="4A7B29" w:themeColor="accent2" w:themeShade="BF"/>
          <w:sz w:val="44"/>
        </w:rPr>
        <w:t>continuing review report</w:t>
      </w:r>
      <w:r w:rsidR="00206AD7" w:rsidRPr="00EA1F8C">
        <w:rPr>
          <w:rFonts w:ascii="Calibri" w:hAnsi="Calibri"/>
          <w:b/>
          <w:color w:val="4A7B29" w:themeColor="accent2" w:themeShade="BF"/>
          <w:sz w:val="44"/>
        </w:rPr>
        <w:t xml:space="preserve"> submission</w:t>
      </w:r>
      <w:r w:rsidR="00E25F3B" w:rsidRPr="00EA1F8C">
        <w:rPr>
          <w:rFonts w:ascii="Calibri" w:hAnsi="Calibri"/>
          <w:b/>
          <w:color w:val="4A7B29" w:themeColor="accent2" w:themeShade="BF"/>
          <w:sz w:val="44"/>
        </w:rPr>
        <w:t xml:space="preserve"> checklist for </w:t>
      </w:r>
      <w:r w:rsidR="00680AFF" w:rsidRPr="00EA1F8C">
        <w:rPr>
          <w:rFonts w:ascii="Calibri" w:hAnsi="Calibri"/>
          <w:b/>
          <w:color w:val="4A7B29" w:themeColor="accent2" w:themeShade="BF"/>
          <w:sz w:val="44"/>
        </w:rPr>
        <w:t>Human subjects research</w:t>
      </w:r>
    </w:p>
    <w:p w:rsidR="00680AFF" w:rsidRPr="001D43DB" w:rsidRDefault="004C1776" w:rsidP="001D43DB">
      <w:pPr>
        <w:pStyle w:val="Title"/>
        <w:jc w:val="center"/>
        <w:rPr>
          <w:rFonts w:ascii="Calibri" w:hAnsi="Calibri"/>
          <w:color w:val="4A7B29" w:themeColor="accent2" w:themeShade="BF"/>
          <w:sz w:val="48"/>
        </w:rPr>
      </w:pPr>
      <w:r>
        <w:rPr>
          <w:rFonts w:ascii="Calibri" w:hAnsi="Calibri"/>
          <w:color w:val="4A7B29" w:themeColor="accent2" w:themeShade="BF"/>
          <w:sz w:val="48"/>
        </w:rPr>
        <w:pict>
          <v:rect id="_x0000_i1025" style="width:440.5pt;height:1pt" o:hrpct="956" o:hralign="center" o:hrstd="t" o:hrnoshade="t" o:hr="t" fillcolor="#4a7b29 [2405]" stroked="f"/>
        </w:pict>
      </w:r>
    </w:p>
    <w:p w:rsidR="00AC6C3E" w:rsidRPr="00A53820" w:rsidRDefault="00E25F3B" w:rsidP="00A53820">
      <w:pPr>
        <w:pStyle w:val="List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Use this checklist when submitting </w:t>
      </w:r>
      <w:r w:rsidR="009E46F4">
        <w:rPr>
          <w:rFonts w:ascii="Calibri" w:hAnsi="Calibri"/>
          <w:sz w:val="20"/>
        </w:rPr>
        <w:t xml:space="preserve">a Continuing Review report. This checklist is intended to be used as guidance. Per the regulations, there is no grace period when a study expires. If your study expires before a renewal is issues, the IRB will administratively close the project. The PI has ten business days to submit a renewal report of the project will be </w:t>
      </w:r>
      <w:r w:rsidR="009E46F4" w:rsidRPr="00233A92">
        <w:rPr>
          <w:rFonts w:ascii="Calibri" w:hAnsi="Calibri"/>
          <w:b/>
          <w:sz w:val="20"/>
        </w:rPr>
        <w:t>permanently</w:t>
      </w:r>
      <w:r w:rsidR="009E46F4">
        <w:rPr>
          <w:rFonts w:ascii="Calibri" w:hAnsi="Calibri"/>
          <w:sz w:val="20"/>
        </w:rPr>
        <w:t xml:space="preserve"> closed. </w:t>
      </w:r>
    </w:p>
    <w:p w:rsidR="00AC6C3E" w:rsidRPr="001D43DB" w:rsidRDefault="00233A92" w:rsidP="00AC6C3E">
      <w:pPr>
        <w:pStyle w:val="Heading1"/>
        <w:spacing w:before="620"/>
        <w:rPr>
          <w:rFonts w:ascii="Calibri" w:hAnsi="Calibri"/>
          <w:color w:val="4A7B29" w:themeColor="accent2" w:themeShade="BF"/>
        </w:rPr>
      </w:pPr>
      <w:r>
        <w:rPr>
          <w:rFonts w:ascii="Calibri" w:hAnsi="Calibri"/>
          <w:color w:val="4A7B29" w:themeColor="accent2" w:themeShade="BF"/>
        </w:rPr>
        <w:t>DU irb continuing review application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10"/>
        <w:gridCol w:w="8952"/>
      </w:tblGrid>
      <w:tr w:rsidR="002E669E" w:rsidRPr="00A53820" w:rsidTr="00FB28A2">
        <w:sdt>
          <w:sdtPr>
            <w:rPr>
              <w:rFonts w:ascii="Calibri" w:hAnsi="Calibri"/>
              <w:sz w:val="22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E669E" w:rsidRPr="00A53820" w:rsidRDefault="00511DE2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E669E" w:rsidRPr="00A53820" w:rsidRDefault="00233A92" w:rsidP="00843788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Download and complete the Continuing Review Application under </w:t>
            </w:r>
            <w:r w:rsidRPr="00233A92">
              <w:rPr>
                <w:rFonts w:ascii="Calibri" w:hAnsi="Calibri"/>
                <w:sz w:val="22"/>
              </w:rPr>
              <w:t>IRBNet Forms and Templates</w:t>
            </w:r>
          </w:p>
        </w:tc>
      </w:tr>
      <w:tr w:rsidR="00843788" w:rsidRPr="00843788" w:rsidTr="00FB28A2">
        <w:sdt>
          <w:sdtPr>
            <w:rPr>
              <w:rFonts w:ascii="Calibri" w:hAnsi="Calibri"/>
              <w:sz w:val="22"/>
            </w:rPr>
            <w:id w:val="-6068182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3788" w:rsidRPr="00A53820" w:rsidRDefault="00843788" w:rsidP="00D965AF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43788" w:rsidRPr="00843788" w:rsidRDefault="00233A92" w:rsidP="00D965AF">
            <w:pPr>
              <w:pStyle w:val="Lis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Attach the last approved version of the Protocol Narrative</w:t>
            </w:r>
            <w:r w:rsidRPr="00233A92">
              <w:rPr>
                <w:rFonts w:ascii="Calibri" w:hAnsi="Calibri"/>
                <w:b/>
                <w:color w:val="auto"/>
                <w:sz w:val="22"/>
              </w:rPr>
              <w:t>,</w:t>
            </w:r>
            <w:r w:rsidR="00FB28A2"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  <w:r w:rsidR="00FB28A2" w:rsidRPr="00FB28A2">
              <w:rPr>
                <w:rFonts w:ascii="Calibri" w:hAnsi="Calibri"/>
                <w:color w:val="auto"/>
                <w:sz w:val="22"/>
              </w:rPr>
              <w:t>only</w:t>
            </w:r>
            <w:r w:rsidRPr="00FB28A2">
              <w:rPr>
                <w:rFonts w:ascii="Calibri" w:hAnsi="Calibri"/>
                <w:color w:val="auto"/>
                <w:sz w:val="22"/>
              </w:rPr>
              <w:t xml:space="preserve"> </w:t>
            </w:r>
            <w:r w:rsidRPr="00233A92">
              <w:rPr>
                <w:rFonts w:ascii="Calibri" w:hAnsi="Calibri"/>
                <w:color w:val="auto"/>
                <w:sz w:val="22"/>
              </w:rPr>
              <w:t>if applicable</w:t>
            </w:r>
          </w:p>
        </w:tc>
      </w:tr>
      <w:tr w:rsidR="00843788" w:rsidRPr="00A53820" w:rsidTr="00FB28A2">
        <w:sdt>
          <w:sdtPr>
            <w:rPr>
              <w:rFonts w:ascii="Calibri" w:hAnsi="Calibri"/>
              <w:sz w:val="22"/>
            </w:rPr>
            <w:id w:val="9860606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3788" w:rsidRPr="00A53820" w:rsidRDefault="00843788" w:rsidP="00D965AF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43788" w:rsidRPr="00843788" w:rsidRDefault="00233A92" w:rsidP="00FB28A2">
            <w:pPr>
              <w:pStyle w:val="Lis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Attach the informed consent, </w:t>
            </w:r>
            <w:r w:rsidR="00FB28A2">
              <w:rPr>
                <w:rFonts w:ascii="Calibri" w:hAnsi="Calibri"/>
                <w:color w:val="auto"/>
                <w:sz w:val="22"/>
              </w:rPr>
              <w:t xml:space="preserve">only </w:t>
            </w:r>
            <w:r>
              <w:rPr>
                <w:rFonts w:ascii="Calibri" w:hAnsi="Calibri"/>
                <w:color w:val="auto"/>
                <w:sz w:val="22"/>
              </w:rPr>
              <w:t xml:space="preserve">if enrolling </w:t>
            </w:r>
            <w:r w:rsidR="00FB28A2">
              <w:rPr>
                <w:rFonts w:ascii="Calibri" w:hAnsi="Calibri"/>
                <w:color w:val="auto"/>
                <w:sz w:val="22"/>
              </w:rPr>
              <w:t xml:space="preserve">of </w:t>
            </w:r>
            <w:r>
              <w:rPr>
                <w:rFonts w:ascii="Calibri" w:hAnsi="Calibri"/>
                <w:color w:val="auto"/>
                <w:sz w:val="22"/>
              </w:rPr>
              <w:t>subjects</w:t>
            </w:r>
            <w:r w:rsidR="00FB28A2">
              <w:rPr>
                <w:rFonts w:ascii="Calibri" w:hAnsi="Calibri"/>
                <w:color w:val="auto"/>
                <w:sz w:val="22"/>
              </w:rPr>
              <w:t xml:space="preserve"> is continuing</w:t>
            </w:r>
          </w:p>
        </w:tc>
      </w:tr>
      <w:tr w:rsidR="00233A92" w:rsidRPr="00A53820" w:rsidTr="00FB28A2">
        <w:sdt>
          <w:sdtPr>
            <w:rPr>
              <w:rFonts w:ascii="Calibri" w:hAnsi="Calibri"/>
              <w:sz w:val="22"/>
            </w:rPr>
            <w:id w:val="11133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33A92" w:rsidRDefault="00233A92" w:rsidP="00D965AF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33A92" w:rsidRDefault="00233A92" w:rsidP="00843788">
            <w:pPr>
              <w:pStyle w:val="Lis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Attach the assent form, </w:t>
            </w:r>
            <w:r w:rsidR="00FB28A2">
              <w:rPr>
                <w:rFonts w:ascii="Calibri" w:hAnsi="Calibri"/>
                <w:color w:val="auto"/>
                <w:sz w:val="22"/>
              </w:rPr>
              <w:t>only if still enrolling of subjects is continuing</w:t>
            </w:r>
          </w:p>
        </w:tc>
      </w:tr>
      <w:tr w:rsidR="00233A92" w:rsidRPr="00A53820" w:rsidTr="00FB28A2">
        <w:sdt>
          <w:sdtPr>
            <w:rPr>
              <w:rFonts w:ascii="Calibri" w:hAnsi="Calibri"/>
              <w:sz w:val="22"/>
            </w:rPr>
            <w:id w:val="96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33A92" w:rsidRDefault="00233A92" w:rsidP="00D965AF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33A92" w:rsidRDefault="00FB28A2" w:rsidP="00843788">
            <w:pPr>
              <w:pStyle w:val="Lis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Data and Safety Monitoring Report/ Update, only if study is more than minimal risk or requested by the DU IRB</w:t>
            </w:r>
          </w:p>
        </w:tc>
      </w:tr>
      <w:tr w:rsidR="00137CE9" w:rsidRPr="00A53820" w:rsidTr="00FB28A2">
        <w:sdt>
          <w:sdtPr>
            <w:rPr>
              <w:rFonts w:ascii="Calibri" w:hAnsi="Calibri"/>
              <w:sz w:val="22"/>
            </w:rPr>
            <w:id w:val="54264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137CE9" w:rsidRDefault="00137CE9" w:rsidP="00D965AF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137CE9" w:rsidRDefault="00137CE9" w:rsidP="00843788">
            <w:pPr>
              <w:pStyle w:val="Lis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Update the Financial Conflict of Interest Form, if conditions changed during the last review period</w:t>
            </w:r>
          </w:p>
          <w:p w:rsidR="00137CE9" w:rsidRPr="00137CE9" w:rsidRDefault="00137CE9" w:rsidP="00843788">
            <w:pPr>
              <w:pStyle w:val="List"/>
              <w:rPr>
                <w:rFonts w:ascii="Calibri" w:hAnsi="Calibri"/>
                <w:color w:val="auto"/>
                <w:sz w:val="20"/>
              </w:rPr>
            </w:pPr>
            <w:r w:rsidRPr="00137CE9">
              <w:rPr>
                <w:rFonts w:ascii="Calibri" w:hAnsi="Calibri"/>
                <w:b/>
                <w:color w:val="auto"/>
                <w:sz w:val="20"/>
              </w:rPr>
              <w:t>Note:</w:t>
            </w:r>
            <w:r>
              <w:rPr>
                <w:rFonts w:ascii="Calibri" w:hAnsi="Calibri"/>
                <w:color w:val="auto"/>
                <w:sz w:val="20"/>
              </w:rPr>
              <w:t xml:space="preserve"> Refer to the Research COI Disclosure form in Qualtrics at: </w:t>
            </w:r>
            <w:hyperlink r:id="rId9" w:history="1">
              <w:r w:rsidRPr="00137CE9">
                <w:rPr>
                  <w:rFonts w:ascii="Calibri" w:eastAsia="Times New Roman" w:hAnsi="Calibri" w:cs="Times New Roman"/>
                  <w:color w:val="0000FF"/>
                  <w:kern w:val="28"/>
                  <w:sz w:val="22"/>
                  <w:szCs w:val="22"/>
                  <w:u w:val="single"/>
                  <w:lang w:eastAsia="en-US"/>
                  <w14:ligatures w14:val="none"/>
                  <w14:cntxtAlts/>
                </w:rPr>
                <w:t>http://tinyurl.com/UDenverCOI</w:t>
              </w:r>
            </w:hyperlink>
          </w:p>
        </w:tc>
      </w:tr>
    </w:tbl>
    <w:p w:rsidR="00843788" w:rsidRPr="00843788" w:rsidRDefault="00FB28A2" w:rsidP="00843788">
      <w:pPr>
        <w:pStyle w:val="Heading1"/>
        <w:rPr>
          <w:rFonts w:ascii="Calibri" w:hAnsi="Calibri"/>
          <w:color w:val="4A7B29" w:themeColor="accent2" w:themeShade="BF"/>
        </w:rPr>
      </w:pPr>
      <w:r>
        <w:rPr>
          <w:rFonts w:ascii="Calibri" w:hAnsi="Calibri"/>
          <w:color w:val="4A7B29" w:themeColor="accent2" w:themeShade="BF"/>
        </w:rPr>
        <w:t>citi training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10"/>
        <w:gridCol w:w="8954"/>
      </w:tblGrid>
      <w:tr w:rsidR="00843788" w:rsidRPr="00A53820" w:rsidTr="00843788">
        <w:sdt>
          <w:sdtPr>
            <w:rPr>
              <w:rFonts w:ascii="Calibri" w:hAnsi="Calibri"/>
              <w:sz w:val="22"/>
            </w:rPr>
            <w:id w:val="-1879467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3788" w:rsidRPr="00A53820" w:rsidRDefault="00843788" w:rsidP="00D965AF">
                <w:pPr>
                  <w:pStyle w:val="Checkbox"/>
                  <w:rPr>
                    <w:rFonts w:ascii="Calibri" w:hAnsi="Calibri"/>
                    <w:sz w:val="22"/>
                  </w:rPr>
                </w:pPr>
                <w:r w:rsidRPr="00843788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43788" w:rsidRDefault="00FB28A2" w:rsidP="00D965AF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Renew </w:t>
            </w:r>
            <w:r w:rsidRPr="00FB28A2">
              <w:rPr>
                <w:rFonts w:ascii="Calibri" w:hAnsi="Calibri"/>
                <w:sz w:val="22"/>
              </w:rPr>
              <w:t>Social Behavioral &amp; Education Research (SBER) or Biomedical Research training</w:t>
            </w:r>
          </w:p>
          <w:p w:rsidR="00843788" w:rsidRPr="00A53820" w:rsidRDefault="00843788" w:rsidP="00FB28A2">
            <w:pPr>
              <w:pStyle w:val="List"/>
              <w:rPr>
                <w:rFonts w:ascii="Calibri" w:hAnsi="Calibri"/>
                <w:sz w:val="22"/>
              </w:rPr>
            </w:pPr>
            <w:r w:rsidRPr="00B37C48">
              <w:rPr>
                <w:rFonts w:ascii="Calibri" w:hAnsi="Calibri"/>
                <w:b/>
                <w:sz w:val="20"/>
              </w:rPr>
              <w:t>Note:</w:t>
            </w:r>
            <w:r w:rsidR="00FB28A2">
              <w:rPr>
                <w:rFonts w:ascii="Calibri" w:hAnsi="Calibri"/>
                <w:sz w:val="20"/>
              </w:rPr>
              <w:t xml:space="preserve"> CITI training expires after </w:t>
            </w:r>
            <w:r w:rsidR="00FB28A2" w:rsidRPr="00FB28A2">
              <w:rPr>
                <w:rFonts w:ascii="Calibri" w:hAnsi="Calibri"/>
                <w:b/>
                <w:sz w:val="20"/>
              </w:rPr>
              <w:t>4</w:t>
            </w:r>
            <w:r w:rsidR="00FB28A2">
              <w:rPr>
                <w:rFonts w:ascii="Calibri" w:hAnsi="Calibri"/>
                <w:sz w:val="20"/>
              </w:rPr>
              <w:t xml:space="preserve"> years.  </w:t>
            </w:r>
            <w:r w:rsidR="005A582E">
              <w:rPr>
                <w:rFonts w:ascii="Calibri" w:hAnsi="Calibri"/>
                <w:sz w:val="20"/>
              </w:rPr>
              <w:t xml:space="preserve">The Principal Investigator (PI) and all other personnel who are involved in the study must </w:t>
            </w:r>
            <w:r w:rsidR="00334605">
              <w:rPr>
                <w:rFonts w:ascii="Calibri" w:hAnsi="Calibri"/>
                <w:sz w:val="20"/>
              </w:rPr>
              <w:t xml:space="preserve">have current CITI training certificates. All training profiles will be verified and must be affiliated with the </w:t>
            </w:r>
            <w:r w:rsidR="00334605" w:rsidRPr="00334605">
              <w:rPr>
                <w:rFonts w:ascii="Calibri" w:hAnsi="Calibri"/>
                <w:sz w:val="20"/>
              </w:rPr>
              <w:t>University of Denver</w:t>
            </w:r>
            <w:r w:rsidR="00334605">
              <w:rPr>
                <w:rFonts w:ascii="Calibri" w:hAnsi="Calibri"/>
                <w:sz w:val="20"/>
              </w:rPr>
              <w:t xml:space="preserve">. </w:t>
            </w:r>
          </w:p>
        </w:tc>
      </w:tr>
    </w:tbl>
    <w:p w:rsidR="00207EE5" w:rsidRPr="00207EE5" w:rsidRDefault="00137CE9" w:rsidP="00207EE5">
      <w:pPr>
        <w:pStyle w:val="Heading1"/>
        <w:rPr>
          <w:rFonts w:ascii="Calibri" w:hAnsi="Calibri"/>
          <w:color w:val="4A7B29" w:themeColor="accent2" w:themeShade="BF"/>
        </w:rPr>
      </w:pPr>
      <w:r>
        <w:rPr>
          <w:rFonts w:ascii="Calibri" w:hAnsi="Calibri"/>
          <w:color w:val="4A7B29" w:themeColor="accent2" w:themeShade="BF"/>
        </w:rPr>
        <w:t>amendment/modification request</w:t>
      </w:r>
    </w:p>
    <w:tbl>
      <w:tblPr>
        <w:tblW w:w="513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46"/>
        <w:gridCol w:w="9169"/>
      </w:tblGrid>
      <w:tr w:rsidR="00207EE5" w:rsidRPr="00A53820" w:rsidTr="00174A4A">
        <w:sdt>
          <w:sdtPr>
            <w:rPr>
              <w:rFonts w:ascii="Calibri" w:hAnsi="Calibri"/>
              <w:sz w:val="22"/>
            </w:rPr>
            <w:id w:val="-12111031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</w:tcPr>
              <w:p w:rsidR="00207EE5" w:rsidRPr="00A53820" w:rsidRDefault="0032448F" w:rsidP="005B6977">
                <w:pPr>
                  <w:pStyle w:val="Checkbox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68" w:type="pct"/>
          </w:tcPr>
          <w:p w:rsidR="00207EE5" w:rsidRDefault="00E77132" w:rsidP="00137CE9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Download</w:t>
            </w:r>
            <w:r w:rsidR="008E7A3E">
              <w:rPr>
                <w:rFonts w:ascii="Calibri" w:hAnsi="Calibri"/>
                <w:sz w:val="22"/>
              </w:rPr>
              <w:t xml:space="preserve"> and complete the </w:t>
            </w:r>
            <w:r w:rsidR="00137CE9">
              <w:rPr>
                <w:rFonts w:ascii="Calibri" w:hAnsi="Calibri"/>
                <w:sz w:val="22"/>
              </w:rPr>
              <w:t xml:space="preserve">Amendment/Modification Form </w:t>
            </w:r>
            <w:r>
              <w:rPr>
                <w:rFonts w:ascii="Calibri" w:hAnsi="Calibri"/>
                <w:sz w:val="22"/>
              </w:rPr>
              <w:t xml:space="preserve">under IRBNet Forms and Templates </w:t>
            </w:r>
          </w:p>
          <w:p w:rsidR="00137CE9" w:rsidRPr="00137CE9" w:rsidRDefault="00137CE9" w:rsidP="00137CE9">
            <w:pPr>
              <w:pStyle w:val="List"/>
              <w:rPr>
                <w:rFonts w:ascii="Calibri" w:hAnsi="Calibri"/>
                <w:sz w:val="20"/>
              </w:rPr>
            </w:pPr>
            <w:r w:rsidRPr="00137CE9">
              <w:rPr>
                <w:rFonts w:ascii="Calibri" w:hAnsi="Calibri"/>
                <w:b/>
                <w:sz w:val="20"/>
              </w:rPr>
              <w:t>Note:</w:t>
            </w:r>
            <w:r>
              <w:rPr>
                <w:rFonts w:ascii="Calibri" w:hAnsi="Calibri"/>
                <w:sz w:val="20"/>
              </w:rPr>
              <w:t xml:space="preserve"> If an amendment is being submitted at the time of the continuing review, please complete and attach the Amendment/Modification Form as part of your IRBNet submission package</w:t>
            </w:r>
          </w:p>
        </w:tc>
      </w:tr>
    </w:tbl>
    <w:p w:rsidR="002E669E" w:rsidRPr="001D43DB" w:rsidRDefault="0069219A">
      <w:pPr>
        <w:pStyle w:val="Heading1"/>
        <w:rPr>
          <w:rFonts w:ascii="Calibri" w:hAnsi="Calibri"/>
          <w:color w:val="4A7B29" w:themeColor="accent2" w:themeShade="BF"/>
        </w:rPr>
      </w:pPr>
      <w:r w:rsidRPr="0069219A">
        <w:rPr>
          <w:rFonts w:ascii="Calibri" w:hAnsi="Calibri"/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2128520</wp:posOffset>
                </wp:positionV>
                <wp:extent cx="5915025" cy="409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9A" w:rsidRPr="000A7170" w:rsidRDefault="0069219A" w:rsidP="006921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A71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The IRB does not have access to any project that has NOT been 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167.6pt;width:465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" fillcolor="#729928 [2404]" stroked="f">
                <v:textbox>
                  <w:txbxContent>
                    <w:p w:rsidR="0069219A" w:rsidRPr="000A7170" w:rsidRDefault="0069219A" w:rsidP="0069219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0A7170">
                        <w:rPr>
                          <w:b/>
                          <w:color w:val="FFFFFF" w:themeColor="background1"/>
                          <w:sz w:val="28"/>
                        </w:rPr>
                        <w:t>The IRB does not have access to any project that has NOT been 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132">
        <w:rPr>
          <w:rFonts w:ascii="Calibri" w:hAnsi="Calibri"/>
          <w:color w:val="4A7B29" w:themeColor="accent2" w:themeShade="BF"/>
        </w:rPr>
        <w:t>submit the package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10"/>
        <w:gridCol w:w="8954"/>
      </w:tblGrid>
      <w:tr w:rsidR="002E669E" w:rsidRPr="00A53820">
        <w:sdt>
          <w:sdtPr>
            <w:rPr>
              <w:rFonts w:ascii="Calibri" w:hAnsi="Calibri"/>
              <w:sz w:val="22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E669E" w:rsidRPr="00A53820" w:rsidRDefault="00AC6C3E">
                <w:pPr>
                  <w:pStyle w:val="Checkbox"/>
                  <w:rPr>
                    <w:rFonts w:ascii="Calibri" w:hAnsi="Calibri"/>
                    <w:sz w:val="22"/>
                  </w:rPr>
                </w:pPr>
                <w:r w:rsidRPr="00A53820">
                  <w:rPr>
                    <w:rFonts w:eastAsia="MS Gothic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E669E" w:rsidRDefault="00E77132" w:rsidP="00511DE2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Sign the IRBNet package</w:t>
            </w:r>
          </w:p>
          <w:p w:rsidR="00E77132" w:rsidRPr="00A53820" w:rsidRDefault="00E77132" w:rsidP="00511DE2">
            <w:pPr>
              <w:pStyle w:val="List"/>
              <w:rPr>
                <w:rFonts w:ascii="Calibri" w:hAnsi="Calibri"/>
                <w:sz w:val="22"/>
              </w:rPr>
            </w:pPr>
            <w:r w:rsidRPr="00E77132">
              <w:rPr>
                <w:rFonts w:ascii="Calibri" w:hAnsi="Calibri"/>
                <w:b/>
                <w:sz w:val="20"/>
              </w:rPr>
              <w:t>Note:</w:t>
            </w:r>
            <w:r w:rsidRPr="00E77132">
              <w:rPr>
                <w:rFonts w:ascii="Calibri" w:hAnsi="Calibri"/>
                <w:sz w:val="20"/>
              </w:rPr>
              <w:t xml:space="preserve"> If a student investigator, a Faculty Sponsor MUST review the IRB application and electronically sign the package. Obtaining the Faculty Sponsor signature verifies the application has been reviewed and is ready for IRB review.</w:t>
            </w:r>
          </w:p>
        </w:tc>
      </w:tr>
      <w:tr w:rsidR="002E669E" w:rsidRPr="00A53820">
        <w:sdt>
          <w:sdtPr>
            <w:rPr>
              <w:rFonts w:ascii="Calibri" w:hAnsi="Calibri"/>
              <w:sz w:val="22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E669E" w:rsidRPr="00A53820" w:rsidRDefault="00AC6C3E">
                <w:pPr>
                  <w:pStyle w:val="Checkbox"/>
                  <w:rPr>
                    <w:rFonts w:ascii="Calibri" w:hAnsi="Calibri"/>
                    <w:sz w:val="22"/>
                  </w:rPr>
                </w:pPr>
                <w:r w:rsidRPr="00A53820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9219A" w:rsidRDefault="0069219A" w:rsidP="0069219A">
            <w:pPr>
              <w:pStyle w:val="Li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Submit the signed IRBNet package to the DU IRB</w:t>
            </w:r>
          </w:p>
          <w:p w:rsidR="002E669E" w:rsidRPr="00A53820" w:rsidRDefault="0069219A" w:rsidP="00511DE2">
            <w:pPr>
              <w:pStyle w:val="List"/>
              <w:rPr>
                <w:rFonts w:ascii="Calibri" w:hAnsi="Calibri"/>
                <w:sz w:val="22"/>
              </w:rPr>
            </w:pPr>
            <w:r w:rsidRPr="0069219A">
              <w:rPr>
                <w:rFonts w:ascii="Calibri" w:hAnsi="Calibri"/>
                <w:b/>
                <w:sz w:val="20"/>
              </w:rPr>
              <w:t>Note:</w:t>
            </w:r>
            <w:r w:rsidRPr="0069219A">
              <w:rPr>
                <w:rFonts w:ascii="Calibri" w:hAnsi="Calibri"/>
                <w:sz w:val="20"/>
              </w:rPr>
              <w:t xml:space="preserve"> You will receive a confirmation email when your package has been successfully submitted.</w:t>
            </w:r>
          </w:p>
        </w:tc>
      </w:tr>
    </w:tbl>
    <w:p w:rsidR="002E669E" w:rsidRDefault="002E669E">
      <w:pPr>
        <w:rPr>
          <w:rFonts w:ascii="Calibri" w:hAnsi="Calibri"/>
        </w:rPr>
      </w:pPr>
    </w:p>
    <w:p w:rsidR="0069219A" w:rsidRDefault="0069219A">
      <w:pPr>
        <w:rPr>
          <w:rFonts w:ascii="Calibri" w:hAnsi="Calibri"/>
        </w:rPr>
      </w:pPr>
    </w:p>
    <w:p w:rsidR="0069219A" w:rsidRPr="0069219A" w:rsidRDefault="0069219A">
      <w:pPr>
        <w:rPr>
          <w:rFonts w:ascii="Calibri" w:hAnsi="Calibri"/>
          <w:color w:val="FFFFFF" w:themeColor="background1"/>
          <w14:textFill>
            <w14:noFill/>
          </w14:textFill>
        </w:rPr>
      </w:pPr>
    </w:p>
    <w:sectPr w:rsidR="0069219A" w:rsidRPr="0069219A" w:rsidSect="001D43DB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2B" w:rsidRDefault="00D56B2B">
      <w:pPr>
        <w:spacing w:before="0" w:line="240" w:lineRule="auto"/>
      </w:pPr>
      <w:r>
        <w:separator/>
      </w:r>
    </w:p>
  </w:endnote>
  <w:endnote w:type="continuationSeparator" w:id="0">
    <w:p w:rsidR="00D56B2B" w:rsidRDefault="00D56B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9E" w:rsidRDefault="00174A4A" w:rsidP="00A53820">
    <w:pPr>
      <w:pStyle w:val="Footer"/>
    </w:pPr>
    <w:r>
      <w:t xml:space="preserve"> </w:t>
    </w:r>
    <w:r w:rsidR="009E46F4">
      <w:t>CONTINUINGREVIEW</w:t>
    </w:r>
    <w:r w:rsidRPr="00174A4A">
      <w:t>SUBMISIONCHECKLIST_V2_SEP2017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20" w:rsidRDefault="009E46F4">
    <w:pPr>
      <w:pStyle w:val="Footer"/>
    </w:pPr>
    <w:r>
      <w:t>CONTINUINGREVIEW</w:t>
    </w:r>
    <w:r w:rsidR="00E25F3B">
      <w:t>SUBMISIONCHECKLIST</w:t>
    </w:r>
    <w:r w:rsidR="00A53820">
      <w:t>_V2_SEP2017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2B" w:rsidRDefault="00D56B2B">
      <w:pPr>
        <w:spacing w:before="0" w:line="240" w:lineRule="auto"/>
      </w:pPr>
      <w:r>
        <w:separator/>
      </w:r>
    </w:p>
  </w:footnote>
  <w:footnote w:type="continuationSeparator" w:id="0">
    <w:p w:rsidR="00D56B2B" w:rsidRDefault="00D56B2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FF" w:rsidRDefault="00680AFF">
    <w:pPr>
      <w:pStyle w:val="Header"/>
    </w:pPr>
    <w:r>
      <w:rPr>
        <w:noProof/>
        <w:sz w:val="48"/>
        <w:lang w:eastAsia="en-US"/>
      </w:rPr>
      <w:drawing>
        <wp:anchor distT="0" distB="0" distL="114300" distR="114300" simplePos="0" relativeHeight="251659264" behindDoc="0" locked="0" layoutInCell="1" allowOverlap="1" wp14:anchorId="3769A1E0" wp14:editId="6A73F241">
          <wp:simplePos x="0" y="0"/>
          <wp:positionH relativeFrom="column">
            <wp:posOffset>-103617</wp:posOffset>
          </wp:positionH>
          <wp:positionV relativeFrom="paragraph">
            <wp:posOffset>-247650</wp:posOffset>
          </wp:positionV>
          <wp:extent cx="1842770" cy="666534"/>
          <wp:effectExtent l="0" t="0" r="5080" b="635"/>
          <wp:wrapNone/>
          <wp:docPr id="1" name="Picture 1" descr="C:\Users\Shaakira.Haywood\Pictures\offi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akira.Haywood\Pictures\offic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66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3E6F"/>
    <w:multiLevelType w:val="hybridMultilevel"/>
    <w:tmpl w:val="C1CC3112"/>
    <w:lvl w:ilvl="0" w:tplc="05840DA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F3247"/>
    <w:multiLevelType w:val="hybridMultilevel"/>
    <w:tmpl w:val="F246F1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031A"/>
    <w:multiLevelType w:val="hybridMultilevel"/>
    <w:tmpl w:val="5C105A4E"/>
    <w:lvl w:ilvl="0" w:tplc="05840D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366F48"/>
    <w:multiLevelType w:val="hybridMultilevel"/>
    <w:tmpl w:val="CFD0DB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3E"/>
    <w:rsid w:val="00046B27"/>
    <w:rsid w:val="000A4179"/>
    <w:rsid w:val="000A7170"/>
    <w:rsid w:val="00137CE9"/>
    <w:rsid w:val="00174A4A"/>
    <w:rsid w:val="001D43DB"/>
    <w:rsid w:val="00206AD7"/>
    <w:rsid w:val="00207EE5"/>
    <w:rsid w:val="00220CFC"/>
    <w:rsid w:val="00233A92"/>
    <w:rsid w:val="002E669E"/>
    <w:rsid w:val="003148C3"/>
    <w:rsid w:val="0032448F"/>
    <w:rsid w:val="00334605"/>
    <w:rsid w:val="003377B1"/>
    <w:rsid w:val="00395DB6"/>
    <w:rsid w:val="00485B1C"/>
    <w:rsid w:val="004C1776"/>
    <w:rsid w:val="004E1966"/>
    <w:rsid w:val="00511DE2"/>
    <w:rsid w:val="005A582E"/>
    <w:rsid w:val="0064415A"/>
    <w:rsid w:val="00680AFF"/>
    <w:rsid w:val="006831AD"/>
    <w:rsid w:val="0069219A"/>
    <w:rsid w:val="00811BD9"/>
    <w:rsid w:val="00843788"/>
    <w:rsid w:val="008E7A3E"/>
    <w:rsid w:val="009341E5"/>
    <w:rsid w:val="009E46F4"/>
    <w:rsid w:val="00A53820"/>
    <w:rsid w:val="00A839D7"/>
    <w:rsid w:val="00AC6C3E"/>
    <w:rsid w:val="00AE4DD7"/>
    <w:rsid w:val="00B1200B"/>
    <w:rsid w:val="00B37C48"/>
    <w:rsid w:val="00D56B2B"/>
    <w:rsid w:val="00D57A8A"/>
    <w:rsid w:val="00DC140F"/>
    <w:rsid w:val="00DD685E"/>
    <w:rsid w:val="00E25F3B"/>
    <w:rsid w:val="00E77132"/>
    <w:rsid w:val="00E92069"/>
    <w:rsid w:val="00EA1F8C"/>
    <w:rsid w:val="00EC3BA3"/>
    <w:rsid w:val="00EC64D9"/>
    <w:rsid w:val="00EE3D82"/>
    <w:rsid w:val="00EE4018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FEDD99B-FC0E-480C-A1E7-6E9AAC99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22F28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55F51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99CB38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99CB38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99CB38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99CB38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729928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EE4018"/>
    <w:rPr>
      <w:color w:val="EE7B0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018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tinyurl.com/UDenverCO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akira.Haywood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D926E-21A3-4FA4-9220-D7D31231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keywords/>
  <cp:lastModifiedBy>Gabe Kaminsky</cp:lastModifiedBy>
  <cp:revision>2</cp:revision>
  <cp:lastPrinted>2012-07-31T23:37:00Z</cp:lastPrinted>
  <dcterms:created xsi:type="dcterms:W3CDTF">2019-04-09T15:07:00Z</dcterms:created>
  <dcterms:modified xsi:type="dcterms:W3CDTF">2019-04-09T15:07:00Z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