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EFE5E" w14:textId="31E138A6" w:rsidR="00D44DC9" w:rsidRPr="00D44DC9" w:rsidRDefault="00D44DC9" w:rsidP="00D44DC9">
      <w:pPr>
        <w:pStyle w:val="Heading1"/>
      </w:pPr>
      <w:r w:rsidRPr="00D44DC9">
        <w:t xml:space="preserve">Appendix B: </w:t>
      </w:r>
      <w:r w:rsidRPr="00D44DC9">
        <w:t xml:space="preserve">NIH REVIEW CATEGORY &amp; SUBCATEGORY </w:t>
      </w:r>
    </w:p>
    <w:p w14:paraId="367D9F0B" w14:textId="77777777" w:rsidR="00573F26" w:rsidRDefault="00573F26" w:rsidP="00573F26">
      <w:r>
        <w:t>Check all the categories, subcategories and information that apply.</w:t>
      </w:r>
    </w:p>
    <w:p w14:paraId="0C4B2DA2" w14:textId="77777777" w:rsidR="00573F26" w:rsidRDefault="00573F26" w:rsidP="00573F26">
      <w:pPr>
        <w:rPr>
          <w:rStyle w:val="Hyperlink"/>
        </w:rPr>
      </w:pPr>
      <w:r>
        <w:t xml:space="preserve">NIH Office of Science Policy Website:  </w:t>
      </w:r>
      <w:hyperlink r:id="rId6" w:history="1">
        <w:r w:rsidRPr="001B0847">
          <w:rPr>
            <w:rStyle w:val="Hyperlink"/>
          </w:rPr>
          <w:t>https://osp.od.nih.gov/</w:t>
        </w:r>
      </w:hyperlink>
    </w:p>
    <w:p w14:paraId="3E860699" w14:textId="77777777" w:rsidR="00573F26" w:rsidRDefault="00573F26" w:rsidP="00573F26"/>
    <w:p w14:paraId="4587F58B" w14:textId="1652D990" w:rsidR="00D44DC9" w:rsidRDefault="00D44DC9" w:rsidP="00573F26">
      <w:r>
        <w:t>Complete the table below and describe the materials and procedures involving recombinant or synthetic DNA.</w:t>
      </w:r>
    </w:p>
    <w:p w14:paraId="24EBC8BF" w14:textId="77777777" w:rsidR="00D44DC9" w:rsidRDefault="00D44DC9" w:rsidP="00573F26"/>
    <w:p w14:paraId="6740D29F" w14:textId="09772B8F" w:rsidR="00D44DC9" w:rsidRDefault="00D44DC9" w:rsidP="00573F26">
      <w:sdt>
        <w:sdtPr>
          <w:rPr>
            <w:rStyle w:val="Heading5Char"/>
          </w:rPr>
          <w:id w:val="1239684323"/>
          <w:placeholder>
            <w:docPart w:val="2364F734261C4D2ABCF7687C37E872F2"/>
          </w:placeholder>
          <w:showingPlcHdr/>
          <w15:color w:val="000080"/>
          <w:text/>
        </w:sdtPr>
        <w:sdtEndPr>
          <w:rPr>
            <w:rStyle w:val="DefaultParagraphFont"/>
            <w:rFonts w:eastAsiaTheme="minorHAnsi" w:cstheme="minorBidi"/>
            <w:color w:val="auto"/>
          </w:rPr>
        </w:sdtEndPr>
        <w:sdtContent>
          <w:r w:rsidRPr="00914349">
            <w:rPr>
              <w:rStyle w:val="Heading5Char"/>
            </w:rPr>
            <w:t>Click here to enter text.</w:t>
          </w:r>
        </w:sdtContent>
      </w:sdt>
    </w:p>
    <w:p w14:paraId="1BB0F848" w14:textId="77777777" w:rsidR="00D44DC9" w:rsidRDefault="00D44DC9" w:rsidP="00573F26"/>
    <w:tbl>
      <w:tblPr>
        <w:tblStyle w:val="GridTable2-Accent1"/>
        <w:tblW w:w="1143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526"/>
        <w:gridCol w:w="8604"/>
      </w:tblGrid>
      <w:tr w:rsidR="00573F26" w14:paraId="63904CD4" w14:textId="77777777" w:rsidTr="00573F26">
        <w:trPr>
          <w:cnfStyle w:val="100000000000" w:firstRow="1" w:lastRow="0" w:firstColumn="0" w:lastColumn="0" w:oddVBand="0" w:evenVBand="0" w:oddHBand="0" w:evenHBand="0" w:firstRowFirstColumn="0" w:firstRowLastColumn="0" w:lastRowFirstColumn="0" w:lastRowLastColumn="0"/>
          <w:trHeight w:val="800"/>
          <w:tblHeader/>
        </w:trPr>
        <w:tc>
          <w:tcPr>
            <w:cnfStyle w:val="001000000000" w:firstRow="0" w:lastRow="0" w:firstColumn="1" w:lastColumn="0" w:oddVBand="0" w:evenVBand="0" w:oddHBand="0" w:evenHBand="0" w:firstRowFirstColumn="0" w:firstRowLastColumn="0" w:lastRowFirstColumn="0" w:lastRowLastColumn="0"/>
            <w:tcW w:w="1300" w:type="dxa"/>
            <w:tcBorders>
              <w:top w:val="none" w:sz="0" w:space="0" w:color="auto"/>
              <w:bottom w:val="none" w:sz="0" w:space="0" w:color="auto"/>
              <w:right w:val="none" w:sz="0" w:space="0" w:color="auto"/>
            </w:tcBorders>
            <w:vAlign w:val="center"/>
          </w:tcPr>
          <w:p w14:paraId="36B80382" w14:textId="77777777" w:rsidR="00573F26" w:rsidRPr="00AA1E51" w:rsidRDefault="00573F26" w:rsidP="00B25633">
            <w:pPr>
              <w:jc w:val="center"/>
            </w:pPr>
            <w:r w:rsidRPr="00AA1E51">
              <w:t>CATEGORY</w:t>
            </w:r>
          </w:p>
        </w:tc>
        <w:tc>
          <w:tcPr>
            <w:tcW w:w="1526" w:type="dxa"/>
            <w:tcBorders>
              <w:top w:val="none" w:sz="0" w:space="0" w:color="auto"/>
              <w:left w:val="none" w:sz="0" w:space="0" w:color="auto"/>
              <w:bottom w:val="none" w:sz="0" w:space="0" w:color="auto"/>
              <w:right w:val="none" w:sz="0" w:space="0" w:color="auto"/>
            </w:tcBorders>
            <w:vAlign w:val="center"/>
          </w:tcPr>
          <w:p w14:paraId="4C6B6998" w14:textId="77777777" w:rsidR="00573F26" w:rsidRPr="00AA1E51" w:rsidRDefault="00573F26" w:rsidP="00B25633">
            <w:pPr>
              <w:jc w:val="center"/>
              <w:cnfStyle w:val="100000000000" w:firstRow="1" w:lastRow="0" w:firstColumn="0" w:lastColumn="0" w:oddVBand="0" w:evenVBand="0" w:oddHBand="0" w:evenHBand="0" w:firstRowFirstColumn="0" w:firstRowLastColumn="0" w:lastRowFirstColumn="0" w:lastRowLastColumn="0"/>
            </w:pPr>
            <w:r w:rsidRPr="00AA1E51">
              <w:t>OVERSIGHT BY</w:t>
            </w:r>
          </w:p>
        </w:tc>
        <w:tc>
          <w:tcPr>
            <w:tcW w:w="8604" w:type="dxa"/>
            <w:tcBorders>
              <w:top w:val="none" w:sz="0" w:space="0" w:color="auto"/>
              <w:left w:val="none" w:sz="0" w:space="0" w:color="auto"/>
              <w:bottom w:val="none" w:sz="0" w:space="0" w:color="auto"/>
            </w:tcBorders>
            <w:vAlign w:val="center"/>
          </w:tcPr>
          <w:p w14:paraId="4FBEBE1D" w14:textId="77777777" w:rsidR="00573F26" w:rsidRPr="00AA1E51" w:rsidRDefault="00573F26" w:rsidP="00B25633">
            <w:pPr>
              <w:jc w:val="center"/>
              <w:cnfStyle w:val="100000000000" w:firstRow="1" w:lastRow="0" w:firstColumn="0" w:lastColumn="0" w:oddVBand="0" w:evenVBand="0" w:oddHBand="0" w:evenHBand="0" w:firstRowFirstColumn="0" w:firstRowLastColumn="0" w:lastRowFirstColumn="0" w:lastRowLastColumn="0"/>
            </w:pPr>
            <w:r w:rsidRPr="00AA1E51">
              <w:t>INCLUDES/SUBCATEGORIES</w:t>
            </w:r>
          </w:p>
        </w:tc>
      </w:tr>
      <w:tr w:rsidR="00573F26" w14:paraId="3D46A0CF" w14:textId="77777777" w:rsidTr="00573F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0" w:type="dxa"/>
          </w:tcPr>
          <w:p w14:paraId="31E0493E" w14:textId="77777777" w:rsidR="00573F26" w:rsidRDefault="00573F26" w:rsidP="00B25633">
            <w:r>
              <w:fldChar w:fldCharType="begin">
                <w:ffData>
                  <w:name w:val="Check41"/>
                  <w:enabled/>
                  <w:calcOnExit w:val="0"/>
                  <w:checkBox>
                    <w:sizeAuto/>
                    <w:default w:val="0"/>
                  </w:checkBox>
                </w:ffData>
              </w:fldChar>
            </w:r>
            <w:bookmarkStart w:id="0" w:name="Check41"/>
            <w:r>
              <w:instrText xml:space="preserve"> FORMCHECKBOX </w:instrText>
            </w:r>
            <w:r>
              <w:fldChar w:fldCharType="separate"/>
            </w:r>
            <w:r>
              <w:fldChar w:fldCharType="end"/>
            </w:r>
            <w:bookmarkEnd w:id="0"/>
            <w:r>
              <w:t xml:space="preserve">  </w:t>
            </w:r>
            <w:hyperlink r:id="rId7" w:anchor="_Toc446948317" w:history="1">
              <w:r w:rsidRPr="001B0847">
                <w:rPr>
                  <w:rStyle w:val="Hyperlink"/>
                </w:rPr>
                <w:t>III-A</w:t>
              </w:r>
            </w:hyperlink>
          </w:p>
        </w:tc>
        <w:tc>
          <w:tcPr>
            <w:tcW w:w="1526" w:type="dxa"/>
          </w:tcPr>
          <w:p w14:paraId="04669C67" w14:textId="77777777" w:rsidR="00573F26" w:rsidRDefault="00573F26" w:rsidP="00B25633">
            <w:pPr>
              <w:cnfStyle w:val="000000100000" w:firstRow="0" w:lastRow="0" w:firstColumn="0" w:lastColumn="0" w:oddVBand="0" w:evenVBand="0" w:oddHBand="1" w:evenHBand="0" w:firstRowFirstColumn="0" w:firstRowLastColumn="0" w:lastRowFirstColumn="0" w:lastRowLastColumn="0"/>
            </w:pPr>
            <w:r>
              <w:t>NIH Director, RAC &amp; IBC</w:t>
            </w:r>
          </w:p>
        </w:tc>
        <w:tc>
          <w:tcPr>
            <w:tcW w:w="8604" w:type="dxa"/>
          </w:tcPr>
          <w:p w14:paraId="6F8ADCD4" w14:textId="77777777" w:rsidR="00573F26" w:rsidRDefault="00573F26" w:rsidP="00B25633">
            <w:pPr>
              <w:cnfStyle w:val="000000100000" w:firstRow="0" w:lastRow="0" w:firstColumn="0" w:lastColumn="0" w:oddVBand="0" w:evenVBand="0" w:oddHBand="1" w:evenHBand="0" w:firstRowFirstColumn="0" w:firstRowLastColumn="0" w:lastRowFirstColumn="0" w:lastRowLastColumn="0"/>
            </w:pPr>
            <w:r>
              <w:t>Studies that involve the deliberate</w:t>
            </w:r>
            <w:r w:rsidRPr="005971DA">
              <w:t xml:space="preserve"> transfer of drug resistance to microorganisms (not </w:t>
            </w:r>
            <w:proofErr w:type="gramStart"/>
            <w:r w:rsidRPr="005971DA">
              <w:t>know</w:t>
            </w:r>
            <w:proofErr w:type="gramEnd"/>
            <w:r w:rsidRPr="005971DA">
              <w:t xml:space="preserve"> to acquire the trait naturally) that can compromise the use of the drug to control the microorganism and its disease in humans, </w:t>
            </w:r>
            <w:r>
              <w:t>veterinary medic</w:t>
            </w:r>
            <w:r w:rsidRPr="005971DA">
              <w:t>ine or agriculture</w:t>
            </w:r>
          </w:p>
        </w:tc>
      </w:tr>
      <w:tr w:rsidR="00573F26" w14:paraId="6FC0479B" w14:textId="77777777" w:rsidTr="00573F26">
        <w:tc>
          <w:tcPr>
            <w:cnfStyle w:val="001000000000" w:firstRow="0" w:lastRow="0" w:firstColumn="1" w:lastColumn="0" w:oddVBand="0" w:evenVBand="0" w:oddHBand="0" w:evenHBand="0" w:firstRowFirstColumn="0" w:firstRowLastColumn="0" w:lastRowFirstColumn="0" w:lastRowLastColumn="0"/>
            <w:tcW w:w="1300" w:type="dxa"/>
          </w:tcPr>
          <w:p w14:paraId="5993FF56" w14:textId="77777777" w:rsidR="00573F26" w:rsidRDefault="00573F26" w:rsidP="00B25633">
            <w:r>
              <w:fldChar w:fldCharType="begin">
                <w:ffData>
                  <w:name w:val="Check42"/>
                  <w:enabled/>
                  <w:calcOnExit w:val="0"/>
                  <w:checkBox>
                    <w:sizeAuto/>
                    <w:default w:val="0"/>
                  </w:checkBox>
                </w:ffData>
              </w:fldChar>
            </w:r>
            <w:bookmarkStart w:id="1" w:name="Check42"/>
            <w:r>
              <w:instrText xml:space="preserve"> FORMCHECKBOX </w:instrText>
            </w:r>
            <w:r>
              <w:fldChar w:fldCharType="separate"/>
            </w:r>
            <w:r>
              <w:fldChar w:fldCharType="end"/>
            </w:r>
            <w:bookmarkEnd w:id="1"/>
            <w:r>
              <w:t xml:space="preserve">  </w:t>
            </w:r>
            <w:hyperlink r:id="rId8" w:anchor="_Toc446948319" w:history="1">
              <w:r w:rsidRPr="001B0847">
                <w:rPr>
                  <w:rStyle w:val="Hyperlink"/>
                </w:rPr>
                <w:t>III-B</w:t>
              </w:r>
            </w:hyperlink>
          </w:p>
        </w:tc>
        <w:tc>
          <w:tcPr>
            <w:tcW w:w="1526" w:type="dxa"/>
          </w:tcPr>
          <w:p w14:paraId="1DB773CA"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r>
              <w:t>NIH/OBA &amp; IBC</w:t>
            </w:r>
          </w:p>
        </w:tc>
        <w:tc>
          <w:tcPr>
            <w:tcW w:w="8604" w:type="dxa"/>
          </w:tcPr>
          <w:p w14:paraId="21E1D54A"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r>
              <w:t>This category is limited to cloning of genes that encode for toxin molecules with LD-50&lt;100 nanograms/kg body weight (e.g., botulinum, tetanus, diphtheria toxins).</w:t>
            </w:r>
          </w:p>
        </w:tc>
      </w:tr>
      <w:tr w:rsidR="00573F26" w14:paraId="184D4CF6" w14:textId="77777777" w:rsidTr="00573F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0" w:type="dxa"/>
          </w:tcPr>
          <w:p w14:paraId="3E87E957" w14:textId="77777777" w:rsidR="00573F26" w:rsidRDefault="00573F26" w:rsidP="00B25633">
            <w:r>
              <w:fldChar w:fldCharType="begin">
                <w:ffData>
                  <w:name w:val="Check43"/>
                  <w:enabled/>
                  <w:calcOnExit w:val="0"/>
                  <w:checkBox>
                    <w:sizeAuto/>
                    <w:default w:val="0"/>
                  </w:checkBox>
                </w:ffData>
              </w:fldChar>
            </w:r>
            <w:bookmarkStart w:id="2" w:name="Check43"/>
            <w:r>
              <w:instrText xml:space="preserve"> FORMCHECKBOX </w:instrText>
            </w:r>
            <w:r>
              <w:fldChar w:fldCharType="separate"/>
            </w:r>
            <w:r>
              <w:fldChar w:fldCharType="end"/>
            </w:r>
            <w:bookmarkEnd w:id="2"/>
            <w:r>
              <w:t xml:space="preserve">  </w:t>
            </w:r>
            <w:hyperlink r:id="rId9" w:anchor="_Toc446948322" w:history="1">
              <w:r w:rsidRPr="001B0847">
                <w:rPr>
                  <w:rStyle w:val="Hyperlink"/>
                </w:rPr>
                <w:t>III-C</w:t>
              </w:r>
            </w:hyperlink>
          </w:p>
        </w:tc>
        <w:tc>
          <w:tcPr>
            <w:tcW w:w="1526" w:type="dxa"/>
          </w:tcPr>
          <w:p w14:paraId="7F0F74F6" w14:textId="77777777" w:rsidR="00573F26" w:rsidRDefault="00573F26" w:rsidP="00B25633">
            <w:pPr>
              <w:cnfStyle w:val="000000100000" w:firstRow="0" w:lastRow="0" w:firstColumn="0" w:lastColumn="0" w:oddVBand="0" w:evenVBand="0" w:oddHBand="1" w:evenHBand="0" w:firstRowFirstColumn="0" w:firstRowLastColumn="0" w:lastRowFirstColumn="0" w:lastRowLastColumn="0"/>
            </w:pPr>
            <w:r>
              <w:t>RAC, IRB &amp; IBC</w:t>
            </w:r>
          </w:p>
        </w:tc>
        <w:tc>
          <w:tcPr>
            <w:tcW w:w="8604" w:type="dxa"/>
          </w:tcPr>
          <w:p w14:paraId="0F06F0B7" w14:textId="77777777" w:rsidR="00573F26" w:rsidRDefault="00573F26" w:rsidP="00B25633">
            <w:pPr>
              <w:cnfStyle w:val="000000100000" w:firstRow="0" w:lastRow="0" w:firstColumn="0" w:lastColumn="0" w:oddVBand="0" w:evenVBand="0" w:oddHBand="1" w:evenHBand="0" w:firstRowFirstColumn="0" w:firstRowLastColumn="0" w:lastRowFirstColumn="0" w:lastRowLastColumn="0"/>
            </w:pPr>
            <w:r w:rsidRPr="00AA1E51">
              <w:t>Transfer of recombinant or synthetic DNA, or DNA or RNA derived from recombinant DNA, into one or more human subjects</w:t>
            </w:r>
            <w:r>
              <w:rPr>
                <w:rFonts w:ascii="Arial" w:hAnsi="Arial" w:cs="Arial"/>
                <w:sz w:val="20"/>
                <w:szCs w:val="20"/>
              </w:rPr>
              <w:t>.</w:t>
            </w:r>
          </w:p>
        </w:tc>
      </w:tr>
      <w:tr w:rsidR="00573F26" w14:paraId="00136764" w14:textId="77777777" w:rsidTr="00573F26">
        <w:tc>
          <w:tcPr>
            <w:cnfStyle w:val="001000000000" w:firstRow="0" w:lastRow="0" w:firstColumn="1" w:lastColumn="0" w:oddVBand="0" w:evenVBand="0" w:oddHBand="0" w:evenHBand="0" w:firstRowFirstColumn="0" w:firstRowLastColumn="0" w:lastRowFirstColumn="0" w:lastRowLastColumn="0"/>
            <w:tcW w:w="1300" w:type="dxa"/>
          </w:tcPr>
          <w:p w14:paraId="688E40D9" w14:textId="77777777" w:rsidR="00573F26" w:rsidRDefault="00573F26" w:rsidP="00B25633">
            <w:r>
              <w:fldChar w:fldCharType="begin">
                <w:ffData>
                  <w:name w:val="Check44"/>
                  <w:enabled/>
                  <w:calcOnExit w:val="0"/>
                  <w:checkBox>
                    <w:sizeAuto/>
                    <w:default w:val="0"/>
                  </w:checkBox>
                </w:ffData>
              </w:fldChar>
            </w:r>
            <w:bookmarkStart w:id="3" w:name="Check44"/>
            <w:r>
              <w:instrText xml:space="preserve"> FORMCHECKBOX </w:instrText>
            </w:r>
            <w:r>
              <w:fldChar w:fldCharType="separate"/>
            </w:r>
            <w:r>
              <w:fldChar w:fldCharType="end"/>
            </w:r>
            <w:bookmarkEnd w:id="3"/>
            <w:r>
              <w:t xml:space="preserve">  </w:t>
            </w:r>
            <w:hyperlink r:id="rId10" w:anchor="_Toc446948324" w:history="1">
              <w:r w:rsidRPr="001B0847">
                <w:rPr>
                  <w:rStyle w:val="Hyperlink"/>
                </w:rPr>
                <w:t>III-D</w:t>
              </w:r>
            </w:hyperlink>
          </w:p>
        </w:tc>
        <w:tc>
          <w:tcPr>
            <w:tcW w:w="1526" w:type="dxa"/>
          </w:tcPr>
          <w:p w14:paraId="345AA99D"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r>
              <w:t>IBC Approval before initiation</w:t>
            </w:r>
          </w:p>
        </w:tc>
        <w:tc>
          <w:tcPr>
            <w:tcW w:w="8604" w:type="dxa"/>
          </w:tcPr>
          <w:p w14:paraId="1529AB47"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r>
              <w:fldChar w:fldCharType="begin">
                <w:ffData>
                  <w:name w:val="Check45"/>
                  <w:enabled/>
                  <w:calcOnExit w:val="0"/>
                  <w:checkBox>
                    <w:sizeAuto/>
                    <w:default w:val="0"/>
                  </w:checkBox>
                </w:ffData>
              </w:fldChar>
            </w:r>
            <w:bookmarkStart w:id="4" w:name="Check45"/>
            <w:r>
              <w:instrText xml:space="preserve"> FORMCHECKBOX </w:instrText>
            </w:r>
            <w:r>
              <w:fldChar w:fldCharType="separate"/>
            </w:r>
            <w:r>
              <w:fldChar w:fldCharType="end"/>
            </w:r>
            <w:bookmarkEnd w:id="4"/>
            <w:r>
              <w:t xml:space="preserve">  D-1: Experiments using Risk Group 2. Risk Group 3, Risk Group 4 or restricted agents as host-vector systems.</w:t>
            </w:r>
          </w:p>
          <w:p w14:paraId="7A9C81F4"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p>
          <w:p w14:paraId="61327290"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r>
              <w:fldChar w:fldCharType="begin">
                <w:ffData>
                  <w:name w:val="Check46"/>
                  <w:enabled/>
                  <w:calcOnExit w:val="0"/>
                  <w:checkBox>
                    <w:sizeAuto/>
                    <w:default w:val="0"/>
                  </w:checkBox>
                </w:ffData>
              </w:fldChar>
            </w:r>
            <w:bookmarkStart w:id="5" w:name="Check46"/>
            <w:r>
              <w:instrText xml:space="preserve"> FORMCHECKBOX </w:instrText>
            </w:r>
            <w:r>
              <w:fldChar w:fldCharType="separate"/>
            </w:r>
            <w:r>
              <w:fldChar w:fldCharType="end"/>
            </w:r>
            <w:bookmarkEnd w:id="5"/>
            <w:r>
              <w:t xml:space="preserve">  D-2: Experiments in which nucleic acids from Risk Group 2, Risk Group 3, Risk Group 4 or restricted agents </w:t>
            </w:r>
            <w:proofErr w:type="gramStart"/>
            <w:r>
              <w:t>is</w:t>
            </w:r>
            <w:proofErr w:type="gramEnd"/>
            <w:r>
              <w:t xml:space="preserve"> cloned into non-pathogenic prokaryotic or lower eukaryotic host-vector systems.  For cloning toxin molecules with LD50 of less than 100 nanograms per kilogram body weight check section III-B above.  Section D-2 does not apply.</w:t>
            </w:r>
          </w:p>
          <w:p w14:paraId="6761E124"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p>
          <w:p w14:paraId="31071252"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r>
              <w:fldChar w:fldCharType="begin">
                <w:ffData>
                  <w:name w:val="Check47"/>
                  <w:enabled/>
                  <w:calcOnExit w:val="0"/>
                  <w:checkBox>
                    <w:sizeAuto/>
                    <w:default w:val="0"/>
                  </w:checkBox>
                </w:ffData>
              </w:fldChar>
            </w:r>
            <w:bookmarkStart w:id="6" w:name="Check47"/>
            <w:r>
              <w:instrText xml:space="preserve"> FORMCHECKBOX </w:instrText>
            </w:r>
            <w:r>
              <w:fldChar w:fldCharType="separate"/>
            </w:r>
            <w:r>
              <w:fldChar w:fldCharType="end"/>
            </w:r>
            <w:bookmarkEnd w:id="6"/>
            <w:r>
              <w:t xml:space="preserve">  D-3: Experiments involving the use of infectious DNA or RNA viruses or defective DNA or RNA viruses in the presence of a helper virus in tissue culture systems.</w:t>
            </w:r>
          </w:p>
          <w:p w14:paraId="7756B15F"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p>
          <w:p w14:paraId="53DF84B1"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proofErr w:type="gramStart"/>
            <w:r>
              <w:t>Experiment is</w:t>
            </w:r>
            <w:proofErr w:type="gramEnd"/>
            <w:r>
              <w:t xml:space="preserve"> likely to enhance pathogenicity.         </w:t>
            </w: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p w14:paraId="40F26BD1"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p>
          <w:p w14:paraId="2F1F11E2" w14:textId="77777777" w:rsidR="00573F26" w:rsidRDefault="00573F26" w:rsidP="00573F26">
            <w:pPr>
              <w:ind w:right="780"/>
              <w:cnfStyle w:val="000000000000" w:firstRow="0" w:lastRow="0" w:firstColumn="0" w:lastColumn="0" w:oddVBand="0" w:evenVBand="0" w:oddHBand="0" w:evenHBand="0" w:firstRowFirstColumn="0" w:firstRowLastColumn="0" w:lastRowFirstColumn="0" w:lastRowLastColumn="0"/>
            </w:pPr>
            <w:r>
              <w:t xml:space="preserve">Experiment extends the host range.        </w:t>
            </w: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p w14:paraId="55FDE697"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p>
          <w:p w14:paraId="08840062"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r>
              <w:fldChar w:fldCharType="begin">
                <w:ffData>
                  <w:name w:val="Check48"/>
                  <w:enabled/>
                  <w:calcOnExit w:val="0"/>
                  <w:checkBox>
                    <w:sizeAuto/>
                    <w:default w:val="0"/>
                  </w:checkBox>
                </w:ffData>
              </w:fldChar>
            </w:r>
            <w:bookmarkStart w:id="7" w:name="Check48"/>
            <w:r>
              <w:instrText xml:space="preserve"> FORMCHECKBOX </w:instrText>
            </w:r>
            <w:r>
              <w:fldChar w:fldCharType="separate"/>
            </w:r>
            <w:r>
              <w:fldChar w:fldCharType="end"/>
            </w:r>
            <w:bookmarkEnd w:id="7"/>
            <w:r>
              <w:t xml:space="preserve">  D-4: Experiments involving whole animals in which the animal’s genome has been altered by stable introduction of r/</w:t>
            </w:r>
            <w:proofErr w:type="spellStart"/>
            <w:r>
              <w:t>sNA</w:t>
            </w:r>
            <w:proofErr w:type="spellEnd"/>
            <w:r>
              <w:t>, or r/</w:t>
            </w:r>
            <w:proofErr w:type="spellStart"/>
            <w:r>
              <w:t>sNA</w:t>
            </w:r>
            <w:proofErr w:type="spellEnd"/>
            <w:r>
              <w:t xml:space="preserve"> derived there from, into the </w:t>
            </w:r>
            <w:proofErr w:type="gramStart"/>
            <w:r>
              <w:t>germ-line</w:t>
            </w:r>
            <w:proofErr w:type="gramEnd"/>
            <w:r>
              <w:t xml:space="preserve"> (transgenic animals) and experiments involving </w:t>
            </w:r>
            <w:proofErr w:type="gramStart"/>
            <w:r>
              <w:t>viable r</w:t>
            </w:r>
            <w:proofErr w:type="gramEnd"/>
            <w:r>
              <w:t xml:space="preserve"> r/</w:t>
            </w:r>
            <w:proofErr w:type="spellStart"/>
            <w:r>
              <w:t>sNA</w:t>
            </w:r>
            <w:proofErr w:type="spellEnd"/>
            <w:r>
              <w:t>-modified microorganisms tested on whole animals.  For the latter, other than viruses which are only vertically transmitted, the experiments may not be conducted at BL1-N containment. A minimum containment of BL2 or BL2-N is required (see E-3 for BSL-1 transgenic rodent experiments).</w:t>
            </w:r>
          </w:p>
          <w:p w14:paraId="4B0F54B1"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p>
          <w:p w14:paraId="2630E0C5"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r w:rsidRPr="00FE2AF6">
              <w:t>Fraction of viral genome being utilized may lead to productive infection.</w:t>
            </w:r>
          </w:p>
          <w:p w14:paraId="3C2BB092" w14:textId="77777777" w:rsidR="00573F26" w:rsidRDefault="00573F26" w:rsidP="00B25633">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p w14:paraId="7321A40F"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p>
          <w:p w14:paraId="6C9FB72D"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r>
              <w:lastRenderedPageBreak/>
              <w:t>Recombinant r/</w:t>
            </w:r>
            <w:proofErr w:type="spellStart"/>
            <w:r>
              <w:t>sNA</w:t>
            </w:r>
            <w:proofErr w:type="spellEnd"/>
            <w:r>
              <w:t>: source is greater than 2/3 eukaryotic viral genome.</w:t>
            </w:r>
          </w:p>
          <w:p w14:paraId="4643308F" w14:textId="77777777" w:rsidR="00573F26" w:rsidRDefault="00573F26" w:rsidP="00B25633">
            <w:pPr>
              <w:jc w:val="center"/>
              <w:cnfStyle w:val="000000000000" w:firstRow="0" w:lastRow="0" w:firstColumn="0" w:lastColumn="0" w:oddVBand="0" w:evenVBand="0" w:oddHBand="0" w:evenHBand="0" w:firstRowFirstColumn="0" w:firstRowLastColumn="0" w:lastRowFirstColumn="0" w:lastRowLastColumn="0"/>
            </w:pPr>
          </w:p>
          <w:p w14:paraId="1AAAB77E" w14:textId="77777777" w:rsidR="00573F26" w:rsidRDefault="00573F26" w:rsidP="00B25633">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p w14:paraId="224E1293" w14:textId="77777777" w:rsidR="00573F26" w:rsidRDefault="00573F26" w:rsidP="00B25633">
            <w:pPr>
              <w:jc w:val="center"/>
              <w:cnfStyle w:val="000000000000" w:firstRow="0" w:lastRow="0" w:firstColumn="0" w:lastColumn="0" w:oddVBand="0" w:evenVBand="0" w:oddHBand="0" w:evenHBand="0" w:firstRowFirstColumn="0" w:firstRowLastColumn="0" w:lastRowFirstColumn="0" w:lastRowLastColumn="0"/>
            </w:pPr>
          </w:p>
          <w:p w14:paraId="282B54EA"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r>
              <w:fldChar w:fldCharType="begin">
                <w:ffData>
                  <w:name w:val="Check49"/>
                  <w:enabled/>
                  <w:calcOnExit w:val="0"/>
                  <w:checkBox>
                    <w:sizeAuto/>
                    <w:default w:val="0"/>
                  </w:checkBox>
                </w:ffData>
              </w:fldChar>
            </w:r>
            <w:bookmarkStart w:id="8" w:name="Check49"/>
            <w:r>
              <w:instrText xml:space="preserve"> FORMCHECKBOX </w:instrText>
            </w:r>
            <w:r>
              <w:fldChar w:fldCharType="separate"/>
            </w:r>
            <w:r>
              <w:fldChar w:fldCharType="end"/>
            </w:r>
            <w:bookmarkEnd w:id="8"/>
            <w:r>
              <w:t xml:space="preserve">  D-5: Experiments involving the generation of transgenic plants or use of recombinant microorganisms or recombinant insects in plants.  (For cloning of toxin molecules with LD50 of less than 100 nanograms per kilogram body weight, see section III-B above.  Section D-5 does not apply.)</w:t>
            </w:r>
          </w:p>
          <w:p w14:paraId="216561BD"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p>
          <w:p w14:paraId="49634323"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r>
              <w:fldChar w:fldCharType="begin">
                <w:ffData>
                  <w:name w:val="Check50"/>
                  <w:enabled/>
                  <w:calcOnExit w:val="0"/>
                  <w:checkBox>
                    <w:sizeAuto/>
                    <w:default w:val="0"/>
                  </w:checkBox>
                </w:ffData>
              </w:fldChar>
            </w:r>
            <w:bookmarkStart w:id="9" w:name="Check50"/>
            <w:r>
              <w:instrText xml:space="preserve"> FORMCHECKBOX </w:instrText>
            </w:r>
            <w:r>
              <w:fldChar w:fldCharType="separate"/>
            </w:r>
            <w:r>
              <w:fldChar w:fldCharType="end"/>
            </w:r>
            <w:bookmarkEnd w:id="9"/>
            <w:r>
              <w:t xml:space="preserve">  </w:t>
            </w:r>
            <w:r w:rsidRPr="00CE7743">
              <w:t>D-6: Experiments involving cultures of 10L increments or greater.</w:t>
            </w:r>
          </w:p>
        </w:tc>
      </w:tr>
      <w:tr w:rsidR="00573F26" w14:paraId="0076CD6B" w14:textId="77777777" w:rsidTr="00573F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0" w:type="dxa"/>
          </w:tcPr>
          <w:p w14:paraId="03721A5C" w14:textId="77777777" w:rsidR="00573F26" w:rsidRDefault="00573F26" w:rsidP="00B25633">
            <w:r w:rsidRPr="00BF5F5A">
              <w:lastRenderedPageBreak/>
              <w:fldChar w:fldCharType="begin">
                <w:ffData>
                  <w:name w:val=""/>
                  <w:enabled/>
                  <w:calcOnExit w:val="0"/>
                  <w:checkBox>
                    <w:sizeAuto/>
                    <w:default w:val="0"/>
                  </w:checkBox>
                </w:ffData>
              </w:fldChar>
            </w:r>
            <w:r w:rsidRPr="00BF5F5A">
              <w:instrText xml:space="preserve"> FORMCHECKBOX </w:instrText>
            </w:r>
            <w:r w:rsidRPr="00BF5F5A">
              <w:fldChar w:fldCharType="separate"/>
            </w:r>
            <w:r w:rsidRPr="00BF5F5A">
              <w:fldChar w:fldCharType="end"/>
            </w:r>
            <w:r w:rsidRPr="00BF5F5A">
              <w:t xml:space="preserve"> </w:t>
            </w:r>
            <w:hyperlink r:id="rId11" w:anchor="_Toc446948332" w:history="1">
              <w:r w:rsidRPr="003A54D1">
                <w:rPr>
                  <w:rStyle w:val="Hyperlink"/>
                </w:rPr>
                <w:t>III-E</w:t>
              </w:r>
            </w:hyperlink>
          </w:p>
        </w:tc>
        <w:tc>
          <w:tcPr>
            <w:tcW w:w="1526" w:type="dxa"/>
          </w:tcPr>
          <w:p w14:paraId="4B69E349" w14:textId="77777777" w:rsidR="00573F26" w:rsidRDefault="00573F26" w:rsidP="00B25633">
            <w:pPr>
              <w:cnfStyle w:val="000000100000" w:firstRow="0" w:lastRow="0" w:firstColumn="0" w:lastColumn="0" w:oddVBand="0" w:evenVBand="0" w:oddHBand="1" w:evenHBand="0" w:firstRowFirstColumn="0" w:firstRowLastColumn="0" w:lastRowFirstColumn="0" w:lastRowLastColumn="0"/>
            </w:pPr>
            <w:r>
              <w:t xml:space="preserve">IBC notified </w:t>
            </w:r>
            <w:proofErr w:type="gramStart"/>
            <w:r>
              <w:t>simultaneous</w:t>
            </w:r>
            <w:proofErr w:type="gramEnd"/>
            <w:r>
              <w:t xml:space="preserve"> with initiation</w:t>
            </w:r>
          </w:p>
        </w:tc>
        <w:tc>
          <w:tcPr>
            <w:tcW w:w="8604" w:type="dxa"/>
          </w:tcPr>
          <w:p w14:paraId="384140EE" w14:textId="77777777" w:rsidR="00573F26" w:rsidRDefault="00573F26" w:rsidP="00B25633">
            <w:pPr>
              <w:cnfStyle w:val="000000100000" w:firstRow="0" w:lastRow="0" w:firstColumn="0" w:lastColumn="0" w:oddVBand="0" w:evenVBand="0" w:oddHBand="1" w:evenHBand="0" w:firstRowFirstColumn="0" w:firstRowLastColumn="0" w:lastRowFirstColumn="0" w:lastRowLastColumn="0"/>
            </w:pPr>
            <w:r w:rsidRPr="00AF3AF0">
              <w:fldChar w:fldCharType="begin">
                <w:ffData>
                  <w:name w:val="Check51"/>
                  <w:enabled/>
                  <w:calcOnExit w:val="0"/>
                  <w:checkBox>
                    <w:sizeAuto/>
                    <w:default w:val="0"/>
                  </w:checkBox>
                </w:ffData>
              </w:fldChar>
            </w:r>
            <w:bookmarkStart w:id="10" w:name="Check51"/>
            <w:r w:rsidRPr="00AF3AF0">
              <w:instrText xml:space="preserve"> </w:instrText>
            </w:r>
            <w:r w:rsidRPr="00AF3AF0">
              <w:rPr>
                <w:rFonts w:hint="eastAsia"/>
              </w:rPr>
              <w:instrText>FORMCHECKBOX</w:instrText>
            </w:r>
            <w:r w:rsidRPr="00AF3AF0">
              <w:instrText xml:space="preserve"> </w:instrText>
            </w:r>
            <w:r w:rsidRPr="00AF3AF0">
              <w:fldChar w:fldCharType="separate"/>
            </w:r>
            <w:r w:rsidRPr="00AF3AF0">
              <w:fldChar w:fldCharType="end"/>
            </w:r>
            <w:bookmarkEnd w:id="10"/>
            <w:r w:rsidRPr="00AF3AF0">
              <w:t xml:space="preserve">  </w:t>
            </w:r>
            <w:r>
              <w:t>E-1: Experiments involving less than 2/3 of a eukaryotic virus genome.  All viruses from a single family being considered identical.</w:t>
            </w:r>
          </w:p>
          <w:p w14:paraId="3A64B0D2" w14:textId="77777777" w:rsidR="00573F26" w:rsidRDefault="00573F26" w:rsidP="00B25633">
            <w:pP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rPr>
            </w:pPr>
          </w:p>
          <w:p w14:paraId="43E03145" w14:textId="77777777" w:rsidR="00573F26" w:rsidRDefault="00573F26" w:rsidP="00B25633">
            <w:pPr>
              <w:cnfStyle w:val="000000100000" w:firstRow="0" w:lastRow="0" w:firstColumn="0" w:lastColumn="0" w:oddVBand="0" w:evenVBand="0" w:oddHBand="1" w:evenHBand="0" w:firstRowFirstColumn="0" w:firstRowLastColumn="0" w:lastRowFirstColumn="0" w:lastRowLastColumn="0"/>
            </w:pPr>
            <w:r>
              <w:t xml:space="preserve">Do cells contain helper viruses for </w:t>
            </w:r>
            <w:proofErr w:type="gramStart"/>
            <w:r>
              <w:t>family of</w:t>
            </w:r>
            <w:proofErr w:type="gramEnd"/>
            <w:r>
              <w:t xml:space="preserve"> viruses being used?  (If yes, see III-D3).</w:t>
            </w:r>
          </w:p>
          <w:p w14:paraId="0ACEFAC3" w14:textId="77777777" w:rsidR="00573F26" w:rsidRDefault="00573F26" w:rsidP="00B25633">
            <w:pPr>
              <w:jc w:val="center"/>
              <w:cnfStyle w:val="000000100000" w:firstRow="0" w:lastRow="0" w:firstColumn="0" w:lastColumn="0" w:oddVBand="0" w:evenVBand="0" w:oddHBand="1" w:evenHBand="0" w:firstRowFirstColumn="0" w:firstRowLastColumn="0" w:lastRowFirstColumn="0" w:lastRowLastColumn="0"/>
            </w:pPr>
            <w:r>
              <w:t xml:space="preserve"> </w:t>
            </w: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p w14:paraId="4176C463" w14:textId="77777777" w:rsidR="00573F26" w:rsidRDefault="00573F26" w:rsidP="00B25633">
            <w:pPr>
              <w:cnfStyle w:val="000000100000" w:firstRow="0" w:lastRow="0" w:firstColumn="0" w:lastColumn="0" w:oddVBand="0" w:evenVBand="0" w:oddHBand="1" w:evenHBand="0" w:firstRowFirstColumn="0" w:firstRowLastColumn="0" w:lastRowFirstColumn="0" w:lastRowLastColumn="0"/>
            </w:pPr>
          </w:p>
          <w:p w14:paraId="0458D0A0" w14:textId="77777777" w:rsidR="00573F26" w:rsidRDefault="00573F26" w:rsidP="00B25633">
            <w:pPr>
              <w:cnfStyle w:val="000000100000" w:firstRow="0" w:lastRow="0" w:firstColumn="0" w:lastColumn="0" w:oddVBand="0" w:evenVBand="0" w:oddHBand="1" w:evenHBand="0" w:firstRowFirstColumn="0" w:firstRowLastColumn="0" w:lastRowFirstColumn="0" w:lastRowLastColumn="0"/>
            </w:pPr>
            <w:r>
              <w:fldChar w:fldCharType="begin">
                <w:ffData>
                  <w:name w:val="Check52"/>
                  <w:enabled/>
                  <w:calcOnExit w:val="0"/>
                  <w:checkBox>
                    <w:sizeAuto/>
                    <w:default w:val="0"/>
                  </w:checkBox>
                </w:ffData>
              </w:fldChar>
            </w:r>
            <w:bookmarkStart w:id="11" w:name="Check52"/>
            <w:r>
              <w:instrText xml:space="preserve"> </w:instrText>
            </w:r>
            <w:r>
              <w:rPr>
                <w:rFonts w:hint="eastAsia"/>
              </w:rPr>
              <w:instrText>FORMCHECKBOX</w:instrText>
            </w:r>
            <w:r>
              <w:instrText xml:space="preserve"> </w:instrText>
            </w:r>
            <w:r>
              <w:fldChar w:fldCharType="separate"/>
            </w:r>
            <w:r>
              <w:fldChar w:fldCharType="end"/>
            </w:r>
            <w:bookmarkEnd w:id="11"/>
            <w:r w:rsidRPr="00AF3AF0">
              <w:rPr>
                <w:rFonts w:hint="eastAsia"/>
              </w:rPr>
              <w:t xml:space="preserve"> </w:t>
            </w:r>
            <w:r>
              <w:t xml:space="preserve"> E-2: Experiments involving the generation of transgenic plants or use of recombinant microorganisms or recombinant insects in plants.  For those not described in III-A, III-B, III-C, III-D or III-F.</w:t>
            </w:r>
          </w:p>
          <w:p w14:paraId="5E48489D" w14:textId="77777777" w:rsidR="00573F26" w:rsidRDefault="00573F26" w:rsidP="00B25633">
            <w:pPr>
              <w:cnfStyle w:val="000000100000" w:firstRow="0" w:lastRow="0" w:firstColumn="0" w:lastColumn="0" w:oddVBand="0" w:evenVBand="0" w:oddHBand="1" w:evenHBand="0" w:firstRowFirstColumn="0" w:firstRowLastColumn="0" w:lastRowFirstColumn="0" w:lastRowLastColumn="0"/>
            </w:pPr>
          </w:p>
          <w:p w14:paraId="16169B9C" w14:textId="77777777" w:rsidR="00573F26" w:rsidRDefault="00573F26" w:rsidP="00B25633">
            <w:pPr>
              <w:cnfStyle w:val="000000100000" w:firstRow="0" w:lastRow="0" w:firstColumn="0" w:lastColumn="0" w:oddVBand="0" w:evenVBand="0" w:oddHBand="1" w:evenHBand="0" w:firstRowFirstColumn="0" w:firstRowLastColumn="0" w:lastRowFirstColumn="0" w:lastRowLastColumn="0"/>
            </w:pPr>
            <w:r>
              <w:rPr>
                <w:rFonts w:ascii="Segoe UI Symbol" w:hAnsi="Segoe UI Symbol" w:cs="Segoe UI Symbol"/>
              </w:rPr>
              <w:fldChar w:fldCharType="begin">
                <w:ffData>
                  <w:name w:val="Check53"/>
                  <w:enabled/>
                  <w:calcOnExit w:val="0"/>
                  <w:checkBox>
                    <w:sizeAuto/>
                    <w:default w:val="0"/>
                  </w:checkBox>
                </w:ffData>
              </w:fldChar>
            </w:r>
            <w:bookmarkStart w:id="12" w:name="Check53"/>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2"/>
            <w:r>
              <w:rPr>
                <w:rFonts w:ascii="Segoe UI Symbol" w:hAnsi="Segoe UI Symbol" w:cs="Segoe UI Symbol"/>
              </w:rPr>
              <w:t xml:space="preserve"> </w:t>
            </w:r>
            <w:r>
              <w:t xml:space="preserve"> E-3: Experiments involving the generation of transgenic rodents for BSL-1 only (see III-D4 for experiments requiring BSL-2, 3 or 4).</w:t>
            </w:r>
          </w:p>
          <w:p w14:paraId="7C5C6AB6" w14:textId="77777777" w:rsidR="00573F26" w:rsidRDefault="00573F26" w:rsidP="00B25633">
            <w:pPr>
              <w:cnfStyle w:val="000000100000" w:firstRow="0" w:lastRow="0" w:firstColumn="0" w:lastColumn="0" w:oddVBand="0" w:evenVBand="0" w:oddHBand="1" w:evenHBand="0" w:firstRowFirstColumn="0" w:firstRowLastColumn="0" w:lastRowFirstColumn="0" w:lastRowLastColumn="0"/>
            </w:pPr>
          </w:p>
        </w:tc>
      </w:tr>
      <w:tr w:rsidR="00573F26" w14:paraId="7A093CF4" w14:textId="77777777" w:rsidTr="00573F26">
        <w:tc>
          <w:tcPr>
            <w:cnfStyle w:val="001000000000" w:firstRow="0" w:lastRow="0" w:firstColumn="1" w:lastColumn="0" w:oddVBand="0" w:evenVBand="0" w:oddHBand="0" w:evenHBand="0" w:firstRowFirstColumn="0" w:firstRowLastColumn="0" w:lastRowFirstColumn="0" w:lastRowLastColumn="0"/>
            <w:tcW w:w="1300" w:type="dxa"/>
          </w:tcPr>
          <w:p w14:paraId="68B33ABD" w14:textId="77777777" w:rsidR="00573F26" w:rsidRDefault="00573F26" w:rsidP="00B25633">
            <w:r w:rsidRPr="00BF5F5A">
              <w:fldChar w:fldCharType="begin">
                <w:ffData>
                  <w:name w:val="Check49"/>
                  <w:enabled/>
                  <w:calcOnExit w:val="0"/>
                  <w:checkBox>
                    <w:sizeAuto/>
                    <w:default w:val="0"/>
                  </w:checkBox>
                </w:ffData>
              </w:fldChar>
            </w:r>
            <w:r w:rsidRPr="00BF5F5A">
              <w:instrText xml:space="preserve"> FORMCHECKBOX </w:instrText>
            </w:r>
            <w:r w:rsidRPr="00BF5F5A">
              <w:fldChar w:fldCharType="separate"/>
            </w:r>
            <w:r w:rsidRPr="00BF5F5A">
              <w:fldChar w:fldCharType="end"/>
            </w:r>
            <w:r w:rsidRPr="00BF5F5A">
              <w:t xml:space="preserve"> </w:t>
            </w:r>
            <w:hyperlink r:id="rId12" w:anchor="_Toc446948336" w:history="1">
              <w:r w:rsidRPr="003A54D1">
                <w:rPr>
                  <w:rStyle w:val="Hyperlink"/>
                </w:rPr>
                <w:t>III-F</w:t>
              </w:r>
            </w:hyperlink>
          </w:p>
        </w:tc>
        <w:tc>
          <w:tcPr>
            <w:tcW w:w="1526" w:type="dxa"/>
          </w:tcPr>
          <w:p w14:paraId="3EE15FB2"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r>
              <w:t>Exempt Experiments. DU policy requires Biosafety Approval Form Submittal</w:t>
            </w:r>
          </w:p>
        </w:tc>
        <w:tc>
          <w:tcPr>
            <w:tcW w:w="8604" w:type="dxa"/>
          </w:tcPr>
          <w:p w14:paraId="6720F858"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r>
              <w:fldChar w:fldCharType="begin">
                <w:ffData>
                  <w:name w:val="Check54"/>
                  <w:enabled/>
                  <w:calcOnExit w:val="0"/>
                  <w:checkBox>
                    <w:sizeAuto/>
                    <w:default w:val="0"/>
                  </w:checkBox>
                </w:ffData>
              </w:fldChar>
            </w:r>
            <w:bookmarkStart w:id="13" w:name="Check54"/>
            <w:r>
              <w:instrText xml:space="preserve"> FORMCHECKBOX </w:instrText>
            </w:r>
            <w:r>
              <w:fldChar w:fldCharType="separate"/>
            </w:r>
            <w:r>
              <w:fldChar w:fldCharType="end"/>
            </w:r>
            <w:bookmarkEnd w:id="13"/>
            <w:r>
              <w:t xml:space="preserve">  </w:t>
            </w:r>
            <w:r w:rsidRPr="007D38F4">
              <w:t>F-1</w:t>
            </w:r>
            <w:r>
              <w:t>:</w:t>
            </w:r>
            <w:r w:rsidRPr="007D38F4">
              <w:t xml:space="preserve"> Those synthetic nucleic acids that: 1.) can neither replicate nor generate nucleic acids that can replicate in any living cell (e.g., oligonucleotides or other synthetic nucleic acids that do not contain an origin of replication or contain elements known to interact with either DNA or RNA polymerase), and 2.) are not designed to integrate into DNA, and (3) do not produce a toxin that is lethal for vertebrates at an LD50 of less than 100 nanograms per kilogram body weight. If a synthetic nucleic acid is deliberately transferred into one or more human research participants and meets the criteria of Section III-C, it is not exempt under this Section.</w:t>
            </w:r>
          </w:p>
          <w:p w14:paraId="76E42926"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p>
          <w:p w14:paraId="2A0B8733"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r w:rsidRPr="007D38F4">
              <w:fldChar w:fldCharType="begin">
                <w:ffData>
                  <w:name w:val=""/>
                  <w:enabled/>
                  <w:calcOnExit w:val="0"/>
                  <w:checkBox>
                    <w:sizeAuto/>
                    <w:default w:val="0"/>
                  </w:checkBox>
                </w:ffData>
              </w:fldChar>
            </w:r>
            <w:r w:rsidRPr="007D38F4">
              <w:instrText xml:space="preserve"> FORMCHECKBOX </w:instrText>
            </w:r>
            <w:r w:rsidRPr="007D38F4">
              <w:fldChar w:fldCharType="separate"/>
            </w:r>
            <w:r w:rsidRPr="007D38F4">
              <w:fldChar w:fldCharType="end"/>
            </w:r>
            <w:r>
              <w:t xml:space="preserve"> F-2: Those that are not in organisms, cells, or viruses and that have not been modified or manipulated (e.g., encapsulated into synthetic or natural vehicles) to render them capable of penetrating cellular membranes.</w:t>
            </w:r>
          </w:p>
          <w:p w14:paraId="174E74B0"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p>
          <w:p w14:paraId="37DF5084"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r w:rsidRPr="007D38F4">
              <w:fldChar w:fldCharType="begin">
                <w:ffData>
                  <w:name w:val=""/>
                  <w:enabled/>
                  <w:calcOnExit w:val="0"/>
                  <w:checkBox>
                    <w:sizeAuto/>
                    <w:default w:val="0"/>
                  </w:checkBox>
                </w:ffData>
              </w:fldChar>
            </w:r>
            <w:r w:rsidRPr="007D38F4">
              <w:instrText xml:space="preserve"> FORMCHECKBOX </w:instrText>
            </w:r>
            <w:r w:rsidRPr="007D38F4">
              <w:fldChar w:fldCharType="separate"/>
            </w:r>
            <w:r w:rsidRPr="007D38F4">
              <w:fldChar w:fldCharType="end"/>
            </w:r>
            <w:r>
              <w:t xml:space="preserve"> F-3: Those that consist solely of the exact recombinant or synthetic nucleic acid sequence from a single source that exists contemporaneously in nature.</w:t>
            </w:r>
          </w:p>
          <w:p w14:paraId="0D20A3DC"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p>
          <w:p w14:paraId="383AE279"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r w:rsidRPr="007D38F4">
              <w:fldChar w:fldCharType="begin">
                <w:ffData>
                  <w:name w:val=""/>
                  <w:enabled/>
                  <w:calcOnExit w:val="0"/>
                  <w:checkBox>
                    <w:sizeAuto/>
                    <w:default w:val="0"/>
                  </w:checkBox>
                </w:ffData>
              </w:fldChar>
            </w:r>
            <w:r w:rsidRPr="007D38F4">
              <w:instrText xml:space="preserve"> FORMCHECKBOX </w:instrText>
            </w:r>
            <w:r w:rsidRPr="007D38F4">
              <w:fldChar w:fldCharType="separate"/>
            </w:r>
            <w:r w:rsidRPr="007D38F4">
              <w:fldChar w:fldCharType="end"/>
            </w:r>
            <w:r>
              <w:t xml:space="preserve"> F-4: Those that consist entirely of nucleic acids from a prokaryotic host, including its indigenous plasmids or viruses when propagated only in that host (or a closely related strain of the same species), or when transferred to another host by well-established physiological means.</w:t>
            </w:r>
          </w:p>
          <w:p w14:paraId="460F1499"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p>
          <w:p w14:paraId="4B9606DA"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r w:rsidRPr="007D38F4">
              <w:lastRenderedPageBreak/>
              <w:fldChar w:fldCharType="begin">
                <w:ffData>
                  <w:name w:val=""/>
                  <w:enabled/>
                  <w:calcOnExit w:val="0"/>
                  <w:checkBox>
                    <w:sizeAuto/>
                    <w:default w:val="0"/>
                  </w:checkBox>
                </w:ffData>
              </w:fldChar>
            </w:r>
            <w:r w:rsidRPr="007D38F4">
              <w:instrText xml:space="preserve"> FORMCHECKBOX </w:instrText>
            </w:r>
            <w:r w:rsidRPr="007D38F4">
              <w:fldChar w:fldCharType="separate"/>
            </w:r>
            <w:r w:rsidRPr="007D38F4">
              <w:fldChar w:fldCharType="end"/>
            </w:r>
            <w:r>
              <w:t xml:space="preserve"> F-5: Those that consist entirely of nucleic acids from a eukaryotic host including its chloroplasts, mitochondria, or plasmids (but excluding viruses) when propagated only in that host (or a closely related strain of the same species).</w:t>
            </w:r>
          </w:p>
          <w:p w14:paraId="5591A7CB"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p>
          <w:p w14:paraId="4FDF0557"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r w:rsidRPr="007D38F4">
              <w:fldChar w:fldCharType="begin">
                <w:ffData>
                  <w:name w:val=""/>
                  <w:enabled/>
                  <w:calcOnExit w:val="0"/>
                  <w:checkBox>
                    <w:sizeAuto/>
                    <w:default w:val="0"/>
                  </w:checkBox>
                </w:ffData>
              </w:fldChar>
            </w:r>
            <w:r w:rsidRPr="007D38F4">
              <w:instrText xml:space="preserve"> FORMCHECKBOX </w:instrText>
            </w:r>
            <w:r w:rsidRPr="007D38F4">
              <w:fldChar w:fldCharType="separate"/>
            </w:r>
            <w:r w:rsidRPr="007D38F4">
              <w:fldChar w:fldCharType="end"/>
            </w:r>
            <w:r>
              <w:t xml:space="preserve"> F-6: Those that consist entirely of DNA segments from different species that exchange DNA by known physiological processes, though one or more of the segments may be a synthetic equivalent.</w:t>
            </w:r>
          </w:p>
          <w:p w14:paraId="39DCB857"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p>
          <w:p w14:paraId="6398C45C"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r w:rsidRPr="007D38F4">
              <w:fldChar w:fldCharType="begin">
                <w:ffData>
                  <w:name w:val=""/>
                  <w:enabled/>
                  <w:calcOnExit w:val="0"/>
                  <w:checkBox>
                    <w:sizeAuto/>
                    <w:default w:val="0"/>
                  </w:checkBox>
                </w:ffData>
              </w:fldChar>
            </w:r>
            <w:r w:rsidRPr="007D38F4">
              <w:instrText xml:space="preserve"> FORMCHECKBOX </w:instrText>
            </w:r>
            <w:r w:rsidRPr="007D38F4">
              <w:fldChar w:fldCharType="separate"/>
            </w:r>
            <w:r w:rsidRPr="007D38F4">
              <w:fldChar w:fldCharType="end"/>
            </w:r>
            <w:r>
              <w:t xml:space="preserve"> F-7: Those genomic DNA molecules that have acquired a transposable element, provided the transposable element does not contain any recombinant and/or synthetic DNA.</w:t>
            </w:r>
          </w:p>
          <w:p w14:paraId="76B1E6B1"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p>
          <w:p w14:paraId="21EC1C5F" w14:textId="77777777" w:rsidR="00573F26" w:rsidRDefault="00573F26" w:rsidP="00B25633">
            <w:pPr>
              <w:cnfStyle w:val="000000000000" w:firstRow="0" w:lastRow="0" w:firstColumn="0" w:lastColumn="0" w:oddVBand="0" w:evenVBand="0" w:oddHBand="0" w:evenHBand="0" w:firstRowFirstColumn="0" w:firstRowLastColumn="0" w:lastRowFirstColumn="0" w:lastRowLastColumn="0"/>
            </w:pPr>
            <w:r w:rsidRPr="007D38F4">
              <w:fldChar w:fldCharType="begin">
                <w:ffData>
                  <w:name w:val=""/>
                  <w:enabled/>
                  <w:calcOnExit w:val="0"/>
                  <w:checkBox>
                    <w:sizeAuto/>
                    <w:default w:val="0"/>
                  </w:checkBox>
                </w:ffData>
              </w:fldChar>
            </w:r>
            <w:r w:rsidRPr="007D38F4">
              <w:instrText xml:space="preserve"> FORMCHECKBOX </w:instrText>
            </w:r>
            <w:r w:rsidRPr="007D38F4">
              <w:fldChar w:fldCharType="separate"/>
            </w:r>
            <w:r w:rsidRPr="007D38F4">
              <w:fldChar w:fldCharType="end"/>
            </w:r>
            <w:r>
              <w:t xml:space="preserve"> F-8: Those that do not present a significant risk to health or the environment (see Section IV-C-1-b-(1)-(c))</w:t>
            </w:r>
          </w:p>
        </w:tc>
      </w:tr>
    </w:tbl>
    <w:p w14:paraId="4F7451AE" w14:textId="77777777" w:rsidR="00573F26" w:rsidRDefault="00573F26" w:rsidP="00573F26"/>
    <w:p w14:paraId="3C6E4F8F" w14:textId="77777777" w:rsidR="00573F26" w:rsidRDefault="00573F26" w:rsidP="00573F26">
      <w:r>
        <w:br w:type="page"/>
      </w:r>
    </w:p>
    <w:p w14:paraId="01F5C01B" w14:textId="77777777" w:rsidR="00F22428" w:rsidRDefault="00F22428"/>
    <w:sectPr w:rsidR="00F2242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702C2" w14:textId="77777777" w:rsidR="00554152" w:rsidRDefault="00554152" w:rsidP="00D44DC9">
      <w:r>
        <w:separator/>
      </w:r>
    </w:p>
  </w:endnote>
  <w:endnote w:type="continuationSeparator" w:id="0">
    <w:p w14:paraId="1F418685" w14:textId="77777777" w:rsidR="00554152" w:rsidRDefault="00554152" w:rsidP="00D44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502A" w14:textId="49929DAB" w:rsidR="00D44DC9" w:rsidRDefault="00D44DC9">
    <w:pPr>
      <w:pStyle w:val="Footer"/>
    </w:pPr>
    <w:r>
      <w:t>Version 1 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7D741" w14:textId="77777777" w:rsidR="00554152" w:rsidRDefault="00554152" w:rsidP="00D44DC9">
      <w:r>
        <w:separator/>
      </w:r>
    </w:p>
  </w:footnote>
  <w:footnote w:type="continuationSeparator" w:id="0">
    <w:p w14:paraId="0F21D57B" w14:textId="77777777" w:rsidR="00554152" w:rsidRDefault="00554152" w:rsidP="00D44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C0BDE" w14:textId="4E3A7A78" w:rsidR="00D44DC9" w:rsidRDefault="00D44DC9">
    <w:pPr>
      <w:pStyle w:val="Header"/>
    </w:pPr>
    <w:r>
      <w:rPr>
        <w:noProof/>
        <w14:ligatures w14:val="standardContextual"/>
      </w:rPr>
      <w:drawing>
        <wp:inline distT="0" distB="0" distL="0" distR="0" wp14:anchorId="3479239D" wp14:editId="0FA2BE6E">
          <wp:extent cx="2456693" cy="301753"/>
          <wp:effectExtent l="0" t="0" r="1270" b="3175"/>
          <wp:docPr id="19356720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72094" name="Picture 1935672094"/>
                  <pic:cNvPicPr/>
                </pic:nvPicPr>
                <pic:blipFill>
                  <a:blip r:embed="rId1">
                    <a:extLst>
                      <a:ext uri="{28A0092B-C50C-407E-A947-70E740481C1C}">
                        <a14:useLocalDpi xmlns:a14="http://schemas.microsoft.com/office/drawing/2010/main" val="0"/>
                      </a:ext>
                    </a:extLst>
                  </a:blip>
                  <a:stretch>
                    <a:fillRect/>
                  </a:stretch>
                </pic:blipFill>
                <pic:spPr>
                  <a:xfrm>
                    <a:off x="0" y="0"/>
                    <a:ext cx="2456693" cy="30175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F26"/>
    <w:rsid w:val="00374AEF"/>
    <w:rsid w:val="003B2539"/>
    <w:rsid w:val="00554152"/>
    <w:rsid w:val="00573F26"/>
    <w:rsid w:val="005761C9"/>
    <w:rsid w:val="00CF4B59"/>
    <w:rsid w:val="00D44DC9"/>
    <w:rsid w:val="00F22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A14A3"/>
  <w15:chartTrackingRefBased/>
  <w15:docId w15:val="{D51D27E5-500B-4341-93F7-FB041C15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573F26"/>
    <w:pPr>
      <w:spacing w:after="0" w:line="240" w:lineRule="auto"/>
    </w:pPr>
    <w:rPr>
      <w:kern w:val="0"/>
      <w:szCs w:val="22"/>
      <w14:ligatures w14:val="none"/>
    </w:rPr>
  </w:style>
  <w:style w:type="paragraph" w:styleId="Heading1">
    <w:name w:val="heading 1"/>
    <w:basedOn w:val="Normal"/>
    <w:next w:val="Normal"/>
    <w:link w:val="Heading1Char"/>
    <w:uiPriority w:val="9"/>
    <w:qFormat/>
    <w:rsid w:val="00573F2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3F2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3F26"/>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3F26"/>
    <w:pPr>
      <w:keepNext/>
      <w:keepLines/>
      <w:spacing w:before="80" w:after="40" w:line="278" w:lineRule="auto"/>
      <w:outlineLvl w:val="3"/>
    </w:pPr>
    <w:rPr>
      <w:rFonts w:eastAsiaTheme="majorEastAsia"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73F26"/>
    <w:pPr>
      <w:keepNext/>
      <w:keepLines/>
      <w:spacing w:before="80" w:after="40" w:line="278" w:lineRule="auto"/>
      <w:outlineLvl w:val="4"/>
    </w:pPr>
    <w:rPr>
      <w:rFonts w:eastAsiaTheme="majorEastAsia"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73F26"/>
    <w:pPr>
      <w:keepNext/>
      <w:keepLines/>
      <w:spacing w:before="40" w:line="278" w:lineRule="auto"/>
      <w:outlineLvl w:val="5"/>
    </w:pPr>
    <w:rPr>
      <w:rFonts w:eastAsiaTheme="majorEastAsia"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73F26"/>
    <w:pPr>
      <w:keepNext/>
      <w:keepLines/>
      <w:spacing w:before="40" w:line="278" w:lineRule="auto"/>
      <w:outlineLvl w:val="6"/>
    </w:pPr>
    <w:rPr>
      <w:rFonts w:eastAsiaTheme="majorEastAsia"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73F26"/>
    <w:pPr>
      <w:keepNext/>
      <w:keepLines/>
      <w:spacing w:line="278" w:lineRule="auto"/>
      <w:outlineLvl w:val="7"/>
    </w:pPr>
    <w:rPr>
      <w:rFonts w:eastAsiaTheme="majorEastAsia"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73F26"/>
    <w:pPr>
      <w:keepNext/>
      <w:keepLines/>
      <w:spacing w:line="278" w:lineRule="auto"/>
      <w:outlineLvl w:val="8"/>
    </w:pPr>
    <w:rPr>
      <w:rFonts w:eastAsiaTheme="majorEastAsia"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F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3F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3F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3F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573F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3F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F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F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F26"/>
    <w:rPr>
      <w:rFonts w:eastAsiaTheme="majorEastAsia" w:cstheme="majorBidi"/>
      <w:color w:val="272727" w:themeColor="text1" w:themeTint="D8"/>
    </w:rPr>
  </w:style>
  <w:style w:type="paragraph" w:styleId="Title">
    <w:name w:val="Title"/>
    <w:basedOn w:val="Normal"/>
    <w:next w:val="Normal"/>
    <w:link w:val="TitleChar"/>
    <w:uiPriority w:val="10"/>
    <w:qFormat/>
    <w:rsid w:val="00573F2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73F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F2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3F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F26"/>
    <w:pPr>
      <w:spacing w:before="160" w:after="160" w:line="278" w:lineRule="auto"/>
      <w:jc w:val="center"/>
    </w:pPr>
    <w:rPr>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73F26"/>
    <w:rPr>
      <w:i/>
      <w:iCs/>
      <w:color w:val="404040" w:themeColor="text1" w:themeTint="BF"/>
    </w:rPr>
  </w:style>
  <w:style w:type="paragraph" w:styleId="ListParagraph">
    <w:name w:val="List Paragraph"/>
    <w:basedOn w:val="Normal"/>
    <w:uiPriority w:val="34"/>
    <w:qFormat/>
    <w:rsid w:val="00573F26"/>
    <w:pPr>
      <w:spacing w:after="160" w:line="278" w:lineRule="auto"/>
      <w:ind w:left="720"/>
      <w:contextualSpacing/>
    </w:pPr>
    <w:rPr>
      <w:kern w:val="2"/>
      <w:szCs w:val="24"/>
      <w14:ligatures w14:val="standardContextual"/>
    </w:rPr>
  </w:style>
  <w:style w:type="character" w:styleId="IntenseEmphasis">
    <w:name w:val="Intense Emphasis"/>
    <w:basedOn w:val="DefaultParagraphFont"/>
    <w:uiPriority w:val="21"/>
    <w:qFormat/>
    <w:rsid w:val="00573F26"/>
    <w:rPr>
      <w:i/>
      <w:iCs/>
      <w:color w:val="2F5496" w:themeColor="accent1" w:themeShade="BF"/>
    </w:rPr>
  </w:style>
  <w:style w:type="paragraph" w:styleId="IntenseQuote">
    <w:name w:val="Intense Quote"/>
    <w:basedOn w:val="Normal"/>
    <w:next w:val="Normal"/>
    <w:link w:val="IntenseQuoteChar"/>
    <w:uiPriority w:val="30"/>
    <w:qFormat/>
    <w:rsid w:val="00573F2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73F26"/>
    <w:rPr>
      <w:i/>
      <w:iCs/>
      <w:color w:val="2F5496" w:themeColor="accent1" w:themeShade="BF"/>
    </w:rPr>
  </w:style>
  <w:style w:type="character" w:styleId="IntenseReference">
    <w:name w:val="Intense Reference"/>
    <w:basedOn w:val="DefaultParagraphFont"/>
    <w:uiPriority w:val="32"/>
    <w:qFormat/>
    <w:rsid w:val="00573F26"/>
    <w:rPr>
      <w:b/>
      <w:bCs/>
      <w:smallCaps/>
      <w:color w:val="2F5496" w:themeColor="accent1" w:themeShade="BF"/>
      <w:spacing w:val="5"/>
    </w:rPr>
  </w:style>
  <w:style w:type="character" w:styleId="Hyperlink">
    <w:name w:val="Hyperlink"/>
    <w:basedOn w:val="DefaultParagraphFont"/>
    <w:uiPriority w:val="99"/>
    <w:unhideWhenUsed/>
    <w:rsid w:val="00573F26"/>
    <w:rPr>
      <w:color w:val="0563C1" w:themeColor="hyperlink"/>
      <w:u w:val="single"/>
    </w:rPr>
  </w:style>
  <w:style w:type="table" w:styleId="GridTable2-Accent1">
    <w:name w:val="Grid Table 2 Accent 1"/>
    <w:basedOn w:val="TableNormal"/>
    <w:uiPriority w:val="47"/>
    <w:rsid w:val="00573F26"/>
    <w:pPr>
      <w:spacing w:after="0" w:line="240" w:lineRule="auto"/>
    </w:pPr>
    <w:rPr>
      <w:kern w:val="0"/>
      <w:sz w:val="22"/>
      <w:szCs w:val="22"/>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D44DC9"/>
    <w:pPr>
      <w:tabs>
        <w:tab w:val="center" w:pos="4680"/>
        <w:tab w:val="right" w:pos="9360"/>
      </w:tabs>
    </w:pPr>
  </w:style>
  <w:style w:type="character" w:customStyle="1" w:styleId="HeaderChar">
    <w:name w:val="Header Char"/>
    <w:basedOn w:val="DefaultParagraphFont"/>
    <w:link w:val="Header"/>
    <w:uiPriority w:val="99"/>
    <w:rsid w:val="00D44DC9"/>
    <w:rPr>
      <w:kern w:val="0"/>
      <w:szCs w:val="22"/>
      <w14:ligatures w14:val="none"/>
    </w:rPr>
  </w:style>
  <w:style w:type="paragraph" w:styleId="Footer">
    <w:name w:val="footer"/>
    <w:basedOn w:val="Normal"/>
    <w:link w:val="FooterChar"/>
    <w:uiPriority w:val="99"/>
    <w:unhideWhenUsed/>
    <w:rsid w:val="00D44DC9"/>
    <w:pPr>
      <w:tabs>
        <w:tab w:val="center" w:pos="4680"/>
        <w:tab w:val="right" w:pos="9360"/>
      </w:tabs>
    </w:pPr>
  </w:style>
  <w:style w:type="character" w:customStyle="1" w:styleId="FooterChar">
    <w:name w:val="Footer Char"/>
    <w:basedOn w:val="DefaultParagraphFont"/>
    <w:link w:val="Footer"/>
    <w:uiPriority w:val="99"/>
    <w:rsid w:val="00D44DC9"/>
    <w:rPr>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od.nih.gov/wp-content/uploads/NIH_Guidelines.html"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osp.od.nih.gov/wp-content/uploads/NIH_Guidelines.html" TargetMode="External"/><Relationship Id="rId12" Type="http://schemas.openxmlformats.org/officeDocument/2006/relationships/hyperlink" Target="https://osp.od.nih.gov/wp-content/uploads/NIH_Guidelines.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hyperlink" Target="https://osp.od.nih.gov/" TargetMode="External"/><Relationship Id="rId11" Type="http://schemas.openxmlformats.org/officeDocument/2006/relationships/hyperlink" Target="https://osp.od.nih.gov/wp-content/uploads/NIH_Guidelines.htm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osp.od.nih.gov/wp-content/uploads/NIH_Guidelines.html" TargetMode="External"/><Relationship Id="rId4" Type="http://schemas.openxmlformats.org/officeDocument/2006/relationships/footnotes" Target="footnotes.xml"/><Relationship Id="rId9" Type="http://schemas.openxmlformats.org/officeDocument/2006/relationships/hyperlink" Target="https://osp.od.nih.gov/wp-content/uploads/NIH_Guidelines.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64F734261C4D2ABCF7687C37E872F2"/>
        <w:category>
          <w:name w:val="General"/>
          <w:gallery w:val="placeholder"/>
        </w:category>
        <w:types>
          <w:type w:val="bbPlcHdr"/>
        </w:types>
        <w:behaviors>
          <w:behavior w:val="content"/>
        </w:behaviors>
        <w:guid w:val="{1D2050B5-6F35-4858-934B-2F8D7C537643}"/>
      </w:docPartPr>
      <w:docPartBody>
        <w:p w:rsidR="00000000" w:rsidRDefault="000A79C1" w:rsidP="000A79C1">
          <w:pPr>
            <w:pStyle w:val="2364F734261C4D2ABCF7687C37E872F2"/>
          </w:pPr>
          <w:r w:rsidRPr="00795FD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9C1"/>
    <w:rsid w:val="000A79C1"/>
    <w:rsid w:val="005761C9"/>
    <w:rsid w:val="00B8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79C1"/>
    <w:rPr>
      <w:color w:val="808080"/>
    </w:rPr>
  </w:style>
  <w:style w:type="paragraph" w:customStyle="1" w:styleId="2364F734261C4D2ABCF7687C37E872F2">
    <w:name w:val="2364F734261C4D2ABCF7687C37E872F2"/>
    <w:rsid w:val="000A79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1005</Words>
  <Characters>5730</Characters>
  <Application>Microsoft Office Word</Application>
  <DocSecurity>0</DocSecurity>
  <Lines>47</Lines>
  <Paragraphs>13</Paragraphs>
  <ScaleCrop>false</ScaleCrop>
  <Company>University of Denver</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Steadman</dc:creator>
  <cp:keywords/>
  <dc:description/>
  <cp:lastModifiedBy>Charles Steadman</cp:lastModifiedBy>
  <cp:revision>2</cp:revision>
  <dcterms:created xsi:type="dcterms:W3CDTF">2025-06-30T18:08:00Z</dcterms:created>
  <dcterms:modified xsi:type="dcterms:W3CDTF">2025-06-30T18:08:00Z</dcterms:modified>
</cp:coreProperties>
</file>